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0BA563B2"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2B0EE3">
        <w:rPr>
          <w:rFonts w:ascii="Arial" w:hAnsi="Arial" w:cs="Arial"/>
          <w:b/>
          <w:bCs/>
          <w:sz w:val="28"/>
          <w:lang w:eastAsia="zh-CN"/>
        </w:rPr>
        <w:t>2</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B7569E">
        <w:rPr>
          <w:rFonts w:ascii="Arial" w:eastAsia="MS Mincho" w:hAnsi="Arial" w:cs="Arial"/>
          <w:b/>
          <w:bCs/>
          <w:sz w:val="28"/>
          <w:lang w:eastAsia="ja-JP"/>
        </w:rPr>
        <w:t>R1-</w:t>
      </w:r>
      <w:r w:rsidR="00355E63" w:rsidRPr="00B7569E">
        <w:rPr>
          <w:rFonts w:ascii="Arial" w:hAnsi="Arial" w:cs="Arial" w:hint="eastAsia"/>
          <w:b/>
          <w:bCs/>
          <w:sz w:val="28"/>
          <w:lang w:eastAsia="zh-CN"/>
        </w:rPr>
        <w:t>20</w:t>
      </w:r>
      <w:r w:rsidR="00B7569E" w:rsidRPr="00B7569E">
        <w:rPr>
          <w:rFonts w:ascii="Arial" w:hAnsi="Arial" w:cs="Arial"/>
          <w:b/>
          <w:bCs/>
          <w:sz w:val="28"/>
          <w:lang w:eastAsia="zh-CN"/>
        </w:rPr>
        <w:t>6946</w:t>
      </w:r>
    </w:p>
    <w:p w14:paraId="4B25669D" w14:textId="5A86B532"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2B0EE3">
        <w:rPr>
          <w:rFonts w:ascii="Arial" w:hAnsi="Arial" w:cs="Arial"/>
          <w:b/>
          <w:bCs/>
          <w:sz w:val="28"/>
          <w:lang w:eastAsia="zh-CN"/>
        </w:rPr>
        <w:t>17-28 August</w:t>
      </w:r>
      <w:r w:rsidR="00A83958" w:rsidRPr="00A83958">
        <w:rPr>
          <w:rFonts w:ascii="Arial" w:eastAsia="MS Mincho" w:hAnsi="Arial" w:cs="Arial"/>
          <w:b/>
          <w:bCs/>
          <w:sz w:val="28"/>
          <w:lang w:eastAsia="ja-JP"/>
        </w:rPr>
        <w:t xml:space="preserve"> 20</w:t>
      </w:r>
      <w:r>
        <w:rPr>
          <w:rFonts w:ascii="Arial" w:eastAsia="MS Mincho" w:hAnsi="Arial" w:cs="Arial"/>
          <w:b/>
          <w:bCs/>
          <w:sz w:val="28"/>
          <w:lang w:eastAsia="ja-JP"/>
        </w:rPr>
        <w:t>20</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A98C3E0"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346169">
        <w:rPr>
          <w:b/>
          <w:kern w:val="2"/>
          <w:sz w:val="24"/>
          <w:lang w:eastAsia="zh-CN"/>
        </w:rPr>
        <w:t>7.</w:t>
      </w:r>
      <w:r w:rsidR="006A370D">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735DE777"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D72DFC">
        <w:rPr>
          <w:b/>
          <w:kern w:val="2"/>
          <w:sz w:val="24"/>
          <w:lang w:eastAsia="zh-CN"/>
        </w:rPr>
        <w:t>Power saving enhancements for connected mode UEs</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0" w:name="_Ref47719621"/>
      <w:r w:rsidRPr="00C43D48">
        <w:rPr>
          <w:sz w:val="24"/>
          <w:lang w:eastAsia="zh-CN"/>
        </w:rPr>
        <w:t>Introduction</w:t>
      </w:r>
      <w:bookmarkEnd w:id="0"/>
    </w:p>
    <w:p w14:paraId="0EF1D875" w14:textId="01D0ABF8" w:rsidR="00A866FC" w:rsidRDefault="00346169" w:rsidP="00F85407">
      <w:pPr>
        <w:spacing w:after="240"/>
        <w:rPr>
          <w:lang w:eastAsia="zh-CN"/>
        </w:rPr>
      </w:pPr>
      <w:r>
        <w:rPr>
          <w:lang w:eastAsia="zh-CN"/>
        </w:rPr>
        <w:t>A new WID on power saving enhancements for NR was approved at RAN plenary</w:t>
      </w:r>
      <w:r w:rsidR="00D530C4">
        <w:rPr>
          <w:lang w:eastAsia="zh-CN"/>
        </w:rPr>
        <w:t>#86</w:t>
      </w:r>
      <w:r>
        <w:rPr>
          <w:lang w:eastAsia="zh-CN"/>
        </w:rPr>
        <w:t xml:space="preserve">, including the following objectives on power saving </w:t>
      </w:r>
      <w:r w:rsidR="00D72DFC">
        <w:rPr>
          <w:lang w:eastAsia="zh-CN"/>
        </w:rPr>
        <w:t>for connected mode UEs</w:t>
      </w:r>
      <w:r>
        <w:rPr>
          <w:lang w:eastAsia="zh-CN"/>
        </w:rPr>
        <w:t>:</w:t>
      </w:r>
    </w:p>
    <w:p w14:paraId="455B7BE0" w14:textId="77777777" w:rsidR="00D72DFC" w:rsidRPr="00D72DFC" w:rsidRDefault="00D72DFC" w:rsidP="00D72DFC">
      <w:pPr>
        <w:numPr>
          <w:ilvl w:val="0"/>
          <w:numId w:val="32"/>
        </w:numPr>
        <w:overflowPunct w:val="0"/>
        <w:adjustRightInd/>
        <w:snapToGrid/>
        <w:spacing w:after="180"/>
        <w:jc w:val="left"/>
        <w:rPr>
          <w:color w:val="0070C0"/>
        </w:rPr>
      </w:pPr>
      <w:r w:rsidRPr="00D72DFC">
        <w:rPr>
          <w:color w:val="0070C0"/>
        </w:rPr>
        <w:t>Study and specify, if agreed, enhancements on power saving techniques for connected-mode UE, subject to minimized system performance impact [RAN1, RAN4]</w:t>
      </w:r>
    </w:p>
    <w:p w14:paraId="61AC2095" w14:textId="77777777" w:rsidR="00D72DFC" w:rsidRPr="00D72DFC" w:rsidRDefault="00D72DFC" w:rsidP="00D72DFC">
      <w:pPr>
        <w:numPr>
          <w:ilvl w:val="1"/>
          <w:numId w:val="32"/>
        </w:numPr>
        <w:overflowPunct w:val="0"/>
        <w:adjustRightInd/>
        <w:snapToGrid/>
        <w:spacing w:after="180"/>
        <w:jc w:val="left"/>
        <w:rPr>
          <w:color w:val="0070C0"/>
        </w:rPr>
      </w:pPr>
      <w:r w:rsidRPr="00D72DFC">
        <w:rPr>
          <w:color w:val="0070C0"/>
        </w:rPr>
        <w:t xml:space="preserve">Study and specify, if agreed, extension(s) to Rel-16 DCI-based power saving adaptation during DRX Active Time for an active BWP, including PDCCH monitoring reduction when C-DRX is configured [RAN1] </w:t>
      </w:r>
    </w:p>
    <w:p w14:paraId="236AD6A9" w14:textId="77777777" w:rsidR="00D72DFC" w:rsidRPr="00D72DFC" w:rsidRDefault="00D72DFC" w:rsidP="00D72DFC">
      <w:pPr>
        <w:numPr>
          <w:ilvl w:val="0"/>
          <w:numId w:val="33"/>
        </w:numPr>
        <w:overflowPunct w:val="0"/>
        <w:adjustRightInd/>
        <w:snapToGrid/>
        <w:spacing w:after="180"/>
        <w:jc w:val="left"/>
        <w:rPr>
          <w:color w:val="0070C0"/>
        </w:rPr>
      </w:pPr>
      <w:r w:rsidRPr="00D72DFC">
        <w:rPr>
          <w:color w:val="0070C0"/>
        </w:rPr>
        <w:t>NOTE: Rel-15 and Rel-16 available power saving solutions should be supported by the UE and included in the evaluation. RAN1 will ask the confirmation from RAN2 that Rel-15 and Rel-16 available power saving solutions are properly utilized.</w:t>
      </w:r>
    </w:p>
    <w:p w14:paraId="2AB80823" w14:textId="277A6627" w:rsidR="00346169" w:rsidRDefault="00346169" w:rsidP="007D7934">
      <w:pPr>
        <w:rPr>
          <w:lang w:eastAsia="zh-CN"/>
        </w:rPr>
      </w:pPr>
    </w:p>
    <w:p w14:paraId="1DADC122" w14:textId="751F3510" w:rsidR="007D7934" w:rsidRDefault="007D7934" w:rsidP="007D7934">
      <w:pPr>
        <w:rPr>
          <w:lang w:eastAsia="zh-CN"/>
        </w:rPr>
      </w:pPr>
      <w:r>
        <w:rPr>
          <w:lang w:eastAsia="zh-CN"/>
        </w:rPr>
        <w:t>This document considers updates to the evaluation methodology of TR38.840 in order to support the Rel-17 power saving work.</w:t>
      </w:r>
    </w:p>
    <w:p w14:paraId="494397E1" w14:textId="7E0D7051" w:rsidR="007D7934" w:rsidRPr="007D7934" w:rsidRDefault="007D7934" w:rsidP="007D7934">
      <w:pPr>
        <w:rPr>
          <w:i/>
          <w:iCs/>
          <w:highlight w:val="yellow"/>
          <w:lang w:eastAsia="x-none"/>
        </w:rPr>
      </w:pPr>
      <w:r>
        <w:rPr>
          <w:lang w:eastAsia="zh-CN"/>
        </w:rPr>
        <w:t xml:space="preserve">The document also provides a </w:t>
      </w:r>
      <w:proofErr w:type="gramStart"/>
      <w:r>
        <w:rPr>
          <w:lang w:eastAsia="zh-CN"/>
        </w:rPr>
        <w:t>high level</w:t>
      </w:r>
      <w:proofErr w:type="gramEnd"/>
      <w:r>
        <w:rPr>
          <w:lang w:eastAsia="zh-CN"/>
        </w:rPr>
        <w:t xml:space="preserve"> description of dynamic DRX configuration, </w:t>
      </w:r>
      <w:r w:rsidR="00F51343">
        <w:rPr>
          <w:lang w:eastAsia="zh-CN"/>
        </w:rPr>
        <w:t xml:space="preserve">which is a DCI-based power saving scheme that adapts the DRX configuration during the active time. </w:t>
      </w:r>
    </w:p>
    <w:p w14:paraId="2AC2D727" w14:textId="387A8327" w:rsidR="00346169" w:rsidRPr="00DF0731" w:rsidRDefault="00346169" w:rsidP="00D72DFC">
      <w:pPr>
        <w:pStyle w:val="ListParagraph"/>
        <w:ind w:left="1440"/>
        <w:rPr>
          <w:i/>
          <w:iCs/>
          <w:lang w:eastAsia="x-none"/>
        </w:rPr>
      </w:pPr>
    </w:p>
    <w:p w14:paraId="19E3759B" w14:textId="2EB9B21B" w:rsidR="00E2136A" w:rsidRDefault="00D72DFC" w:rsidP="00B01F4C">
      <w:pPr>
        <w:pStyle w:val="Heading1"/>
        <w:spacing w:after="80"/>
        <w:jc w:val="left"/>
        <w:rPr>
          <w:color w:val="000000" w:themeColor="text1"/>
          <w:sz w:val="24"/>
          <w:lang w:eastAsia="zh-CN"/>
        </w:rPr>
      </w:pPr>
      <w:r>
        <w:rPr>
          <w:color w:val="000000" w:themeColor="text1"/>
          <w:sz w:val="24"/>
          <w:lang w:eastAsia="zh-CN"/>
        </w:rPr>
        <w:t>Updates to evaluation methodology in TR38.840</w:t>
      </w:r>
    </w:p>
    <w:p w14:paraId="57480077" w14:textId="45A09730" w:rsidR="0018074C" w:rsidRDefault="00D530C4" w:rsidP="00F97DF9">
      <w:r>
        <w:rPr>
          <w:lang w:eastAsia="zh-CN"/>
        </w:rPr>
        <w:t>Release-16 has considered power saving for some applications with lower data rates (instant messaging and VoIP) or with higher data rates but infrequent traffic</w:t>
      </w:r>
      <w:r w:rsidR="0018074C">
        <w:t>.</w:t>
      </w:r>
      <w:r>
        <w:t xml:space="preserve"> We think that the Rel-17 power saving work item should consider the remaining application types: high data </w:t>
      </w:r>
      <w:r w:rsidR="00556B77">
        <w:t>intensity</w:t>
      </w:r>
      <w:r>
        <w:t xml:space="preserve"> applications with frequent data activity.</w:t>
      </w:r>
    </w:p>
    <w:p w14:paraId="4A811265" w14:textId="55D88E44" w:rsidR="00D530C4" w:rsidRDefault="00D530C4" w:rsidP="00F97DF9">
      <w:r>
        <w:t xml:space="preserve">A simple approach to defining a traffic model for higher data </w:t>
      </w:r>
      <w:r w:rsidR="00556B77">
        <w:t>intensity</w:t>
      </w:r>
      <w:r>
        <w:t xml:space="preserve"> applications is to use the FTP traffic model 3 with different parameters compared to the parameters used for Release-1</w:t>
      </w:r>
      <w:r w:rsidR="000E24E2">
        <w:t xml:space="preserve">6. </w:t>
      </w:r>
      <w:r w:rsidR="00556B77">
        <w:fldChar w:fldCharType="begin"/>
      </w:r>
      <w:r w:rsidR="00556B77">
        <w:instrText xml:space="preserve"> REF _Ref47719118 \h </w:instrText>
      </w:r>
      <w:r w:rsidR="00556B77">
        <w:fldChar w:fldCharType="separate"/>
      </w:r>
      <w:r w:rsidR="00F51343">
        <w:t xml:space="preserve">Table </w:t>
      </w:r>
      <w:r w:rsidR="00F51343">
        <w:rPr>
          <w:noProof/>
        </w:rPr>
        <w:t>1</w:t>
      </w:r>
      <w:r w:rsidR="00556B77">
        <w:fldChar w:fldCharType="end"/>
      </w:r>
      <w:r w:rsidR="000E24E2">
        <w:t xml:space="preserve"> provides an example high data </w:t>
      </w:r>
      <w:r w:rsidR="00556B77">
        <w:t>intensity</w:t>
      </w:r>
      <w:r w:rsidR="000E24E2">
        <w:t xml:space="preserve"> traffic model that could be used for evaluations in Release-17.</w:t>
      </w:r>
      <w:r w:rsidR="00556B77">
        <w:t xml:space="preserve"> While this traffic model has a similar data rate to the Rel-16 high data rate traffic model, there is a much higher rate of packet arrivals.</w:t>
      </w:r>
    </w:p>
    <w:p w14:paraId="632431CA" w14:textId="7E970000" w:rsidR="000E24E2" w:rsidRDefault="000E24E2" w:rsidP="00F97DF9"/>
    <w:p w14:paraId="6CC0C899" w14:textId="6720A319" w:rsidR="002870AB" w:rsidRDefault="00556B77" w:rsidP="00556B77">
      <w:pPr>
        <w:pStyle w:val="Caption"/>
        <w:rPr>
          <w:lang w:eastAsia="zh-CN"/>
        </w:rPr>
      </w:pPr>
      <w:bookmarkStart w:id="1" w:name="_Ref47719118"/>
      <w:r>
        <w:t xml:space="preserve">Table </w:t>
      </w:r>
      <w:fldSimple w:instr=" SEQ Table \* ARABIC ">
        <w:r w:rsidR="00F51343">
          <w:rPr>
            <w:noProof/>
          </w:rPr>
          <w:t>1</w:t>
        </w:r>
      </w:fldSimple>
      <w:bookmarkEnd w:id="1"/>
      <w:r>
        <w:t xml:space="preserve"> – Rel-17 High Data Intensity Traffic Model</w:t>
      </w:r>
    </w:p>
    <w:tbl>
      <w:tblPr>
        <w:tblStyle w:val="TableGrid"/>
        <w:tblW w:w="0" w:type="auto"/>
        <w:tblLook w:val="04A0" w:firstRow="1" w:lastRow="0" w:firstColumn="1" w:lastColumn="0" w:noHBand="0" w:noVBand="1"/>
      </w:tblPr>
      <w:tblGrid>
        <w:gridCol w:w="3102"/>
        <w:gridCol w:w="3102"/>
        <w:gridCol w:w="3103"/>
      </w:tblGrid>
      <w:tr w:rsidR="000E24E2" w14:paraId="1DCD491D" w14:textId="77777777" w:rsidTr="00556B77">
        <w:tc>
          <w:tcPr>
            <w:tcW w:w="3102" w:type="dxa"/>
            <w:shd w:val="clear" w:color="auto" w:fill="FFFF99"/>
          </w:tcPr>
          <w:p w14:paraId="35AB81DB" w14:textId="77777777" w:rsidR="000E24E2" w:rsidRPr="00C55BEE" w:rsidRDefault="000E24E2" w:rsidP="000E24E2">
            <w:pPr>
              <w:rPr>
                <w:rFonts w:ascii="Arial" w:hAnsi="Arial" w:cs="Arial"/>
              </w:rPr>
            </w:pPr>
            <w:r w:rsidRPr="00C55BEE">
              <w:rPr>
                <w:rFonts w:ascii="Arial" w:hAnsi="Arial" w:cs="Arial"/>
              </w:rPr>
              <w:t>Parameter</w:t>
            </w:r>
          </w:p>
        </w:tc>
        <w:tc>
          <w:tcPr>
            <w:tcW w:w="3102" w:type="dxa"/>
            <w:shd w:val="clear" w:color="auto" w:fill="FFFF99"/>
          </w:tcPr>
          <w:p w14:paraId="0FA17BF6" w14:textId="03CA4110" w:rsidR="000E24E2" w:rsidRPr="00C55BEE" w:rsidRDefault="000E24E2" w:rsidP="000E24E2">
            <w:pPr>
              <w:rPr>
                <w:rFonts w:ascii="Arial" w:hAnsi="Arial" w:cs="Arial"/>
              </w:rPr>
            </w:pPr>
            <w:r w:rsidRPr="00C55BEE">
              <w:rPr>
                <w:rFonts w:ascii="Arial" w:hAnsi="Arial" w:cs="Arial"/>
              </w:rPr>
              <w:t xml:space="preserve">Release-17 high data </w:t>
            </w:r>
            <w:r w:rsidR="00556B77">
              <w:rPr>
                <w:rFonts w:ascii="Arial" w:hAnsi="Arial" w:cs="Arial"/>
              </w:rPr>
              <w:t>intensity</w:t>
            </w:r>
            <w:r w:rsidRPr="00C55BEE">
              <w:rPr>
                <w:rFonts w:ascii="Arial" w:hAnsi="Arial" w:cs="Arial"/>
              </w:rPr>
              <w:t xml:space="preserve"> traffic model</w:t>
            </w:r>
          </w:p>
        </w:tc>
        <w:tc>
          <w:tcPr>
            <w:tcW w:w="3103" w:type="dxa"/>
            <w:shd w:val="clear" w:color="auto" w:fill="D9D9D9" w:themeFill="background1" w:themeFillShade="D9"/>
          </w:tcPr>
          <w:p w14:paraId="411D5832" w14:textId="147FE470" w:rsidR="000E24E2" w:rsidRPr="00C55BEE" w:rsidRDefault="000E24E2" w:rsidP="000E24E2">
            <w:pPr>
              <w:rPr>
                <w:rFonts w:ascii="Arial" w:hAnsi="Arial" w:cs="Arial"/>
              </w:rPr>
            </w:pPr>
            <w:r w:rsidRPr="00C55BEE">
              <w:rPr>
                <w:rFonts w:ascii="Arial" w:hAnsi="Arial" w:cs="Arial"/>
              </w:rPr>
              <w:t xml:space="preserve">Release-16 FTP traffic model </w:t>
            </w:r>
          </w:p>
        </w:tc>
      </w:tr>
      <w:tr w:rsidR="000E24E2" w14:paraId="46F5A091" w14:textId="77777777" w:rsidTr="00F5645C">
        <w:tc>
          <w:tcPr>
            <w:tcW w:w="3102" w:type="dxa"/>
          </w:tcPr>
          <w:p w14:paraId="677A93EE" w14:textId="77777777" w:rsidR="000E24E2" w:rsidRPr="00C55BEE" w:rsidRDefault="000E24E2" w:rsidP="000E24E2">
            <w:pPr>
              <w:rPr>
                <w:rFonts w:ascii="Arial" w:hAnsi="Arial" w:cs="Arial"/>
              </w:rPr>
            </w:pPr>
            <w:r w:rsidRPr="00C55BEE">
              <w:rPr>
                <w:rFonts w:ascii="Arial" w:hAnsi="Arial" w:cs="Arial"/>
              </w:rPr>
              <w:t>Basic traffic model</w:t>
            </w:r>
          </w:p>
        </w:tc>
        <w:tc>
          <w:tcPr>
            <w:tcW w:w="3102" w:type="dxa"/>
          </w:tcPr>
          <w:p w14:paraId="648A0CB7" w14:textId="4641C0EF" w:rsidR="000E24E2" w:rsidRPr="00C55BEE" w:rsidRDefault="000E24E2" w:rsidP="000E24E2">
            <w:pPr>
              <w:rPr>
                <w:rFonts w:ascii="Arial" w:hAnsi="Arial" w:cs="Arial"/>
              </w:rPr>
            </w:pPr>
            <w:r w:rsidRPr="00C55BEE">
              <w:rPr>
                <w:rFonts w:ascii="Arial" w:hAnsi="Arial" w:cs="Arial"/>
              </w:rPr>
              <w:t>FTP3</w:t>
            </w:r>
          </w:p>
        </w:tc>
        <w:tc>
          <w:tcPr>
            <w:tcW w:w="3103" w:type="dxa"/>
          </w:tcPr>
          <w:p w14:paraId="1F16C0F8" w14:textId="096B5377" w:rsidR="000E24E2" w:rsidRPr="00C55BEE" w:rsidRDefault="000E24E2" w:rsidP="000E24E2">
            <w:pPr>
              <w:rPr>
                <w:rFonts w:ascii="Arial" w:hAnsi="Arial" w:cs="Arial"/>
              </w:rPr>
            </w:pPr>
            <w:r w:rsidRPr="00C55BEE">
              <w:rPr>
                <w:rFonts w:ascii="Arial" w:hAnsi="Arial" w:cs="Arial"/>
              </w:rPr>
              <w:t>FTP3</w:t>
            </w:r>
          </w:p>
        </w:tc>
      </w:tr>
      <w:tr w:rsidR="000E24E2" w14:paraId="15A157A8" w14:textId="77777777" w:rsidTr="00F5645C">
        <w:tc>
          <w:tcPr>
            <w:tcW w:w="3102" w:type="dxa"/>
          </w:tcPr>
          <w:p w14:paraId="581DB689" w14:textId="77777777" w:rsidR="000E24E2" w:rsidRPr="00C55BEE" w:rsidRDefault="000E24E2" w:rsidP="000E24E2">
            <w:pPr>
              <w:rPr>
                <w:rFonts w:ascii="Arial" w:hAnsi="Arial" w:cs="Arial"/>
              </w:rPr>
            </w:pPr>
            <w:r w:rsidRPr="00C55BEE">
              <w:rPr>
                <w:rFonts w:ascii="Arial" w:hAnsi="Arial" w:cs="Arial"/>
              </w:rPr>
              <w:t>Packet size</w:t>
            </w:r>
          </w:p>
        </w:tc>
        <w:tc>
          <w:tcPr>
            <w:tcW w:w="3102" w:type="dxa"/>
          </w:tcPr>
          <w:p w14:paraId="06F09A23" w14:textId="63937873" w:rsidR="000E24E2" w:rsidRPr="00C55BEE" w:rsidRDefault="000E24E2" w:rsidP="000E24E2">
            <w:pPr>
              <w:rPr>
                <w:rFonts w:ascii="Arial" w:hAnsi="Arial" w:cs="Arial"/>
              </w:rPr>
            </w:pPr>
            <w:r w:rsidRPr="00C55BEE">
              <w:rPr>
                <w:rFonts w:ascii="Arial" w:hAnsi="Arial" w:cs="Arial"/>
              </w:rPr>
              <w:t>0.05Mbytes</w:t>
            </w:r>
          </w:p>
        </w:tc>
        <w:tc>
          <w:tcPr>
            <w:tcW w:w="3103" w:type="dxa"/>
          </w:tcPr>
          <w:p w14:paraId="5755E790" w14:textId="756DA73D" w:rsidR="000E24E2" w:rsidRPr="00C55BEE" w:rsidRDefault="000E24E2" w:rsidP="000E24E2">
            <w:pPr>
              <w:rPr>
                <w:rFonts w:ascii="Arial" w:hAnsi="Arial" w:cs="Arial"/>
              </w:rPr>
            </w:pPr>
            <w:r w:rsidRPr="00C55BEE">
              <w:rPr>
                <w:rFonts w:ascii="Arial" w:hAnsi="Arial" w:cs="Arial"/>
              </w:rPr>
              <w:t>0.5Mbytes</w:t>
            </w:r>
          </w:p>
        </w:tc>
      </w:tr>
      <w:tr w:rsidR="000E24E2" w14:paraId="0FBBF529" w14:textId="77777777" w:rsidTr="00F5645C">
        <w:tc>
          <w:tcPr>
            <w:tcW w:w="3102" w:type="dxa"/>
          </w:tcPr>
          <w:p w14:paraId="69AC816D" w14:textId="77777777" w:rsidR="000E24E2" w:rsidRPr="00C55BEE" w:rsidRDefault="000E24E2" w:rsidP="000E24E2">
            <w:pPr>
              <w:rPr>
                <w:rFonts w:ascii="Arial" w:hAnsi="Arial" w:cs="Arial"/>
              </w:rPr>
            </w:pPr>
            <w:r w:rsidRPr="00C55BEE">
              <w:rPr>
                <w:rFonts w:ascii="Arial" w:hAnsi="Arial" w:cs="Arial"/>
              </w:rPr>
              <w:t>Mean packet inter-arrival time</w:t>
            </w:r>
          </w:p>
        </w:tc>
        <w:tc>
          <w:tcPr>
            <w:tcW w:w="3102" w:type="dxa"/>
          </w:tcPr>
          <w:p w14:paraId="19EE11AF" w14:textId="2B80B5A3" w:rsidR="000E24E2" w:rsidRPr="00C55BEE" w:rsidRDefault="000E24E2" w:rsidP="000E24E2">
            <w:pPr>
              <w:rPr>
                <w:rFonts w:ascii="Arial" w:hAnsi="Arial" w:cs="Arial"/>
              </w:rPr>
            </w:pPr>
            <w:r w:rsidRPr="00C55BEE">
              <w:rPr>
                <w:rFonts w:ascii="Arial" w:hAnsi="Arial" w:cs="Arial"/>
              </w:rPr>
              <w:t>16.67ms</w:t>
            </w:r>
          </w:p>
        </w:tc>
        <w:tc>
          <w:tcPr>
            <w:tcW w:w="3103" w:type="dxa"/>
          </w:tcPr>
          <w:p w14:paraId="5D292D4E" w14:textId="0AB5B30B" w:rsidR="000E24E2" w:rsidRPr="00C55BEE" w:rsidRDefault="000E24E2" w:rsidP="000E24E2">
            <w:pPr>
              <w:rPr>
                <w:rFonts w:ascii="Arial" w:hAnsi="Arial" w:cs="Arial"/>
              </w:rPr>
            </w:pPr>
            <w:r w:rsidRPr="00C55BEE">
              <w:rPr>
                <w:rFonts w:ascii="Arial" w:hAnsi="Arial" w:cs="Arial"/>
              </w:rPr>
              <w:t>200ms</w:t>
            </w:r>
          </w:p>
        </w:tc>
      </w:tr>
      <w:tr w:rsidR="000E24E2" w14:paraId="7C09C9FE" w14:textId="77777777" w:rsidTr="00F5645C">
        <w:tc>
          <w:tcPr>
            <w:tcW w:w="3102" w:type="dxa"/>
          </w:tcPr>
          <w:p w14:paraId="38B8E7FB" w14:textId="77777777" w:rsidR="000E24E2" w:rsidRPr="00C55BEE" w:rsidRDefault="000E24E2" w:rsidP="000E24E2">
            <w:pPr>
              <w:rPr>
                <w:rFonts w:ascii="Arial" w:hAnsi="Arial" w:cs="Arial"/>
              </w:rPr>
            </w:pPr>
            <w:r w:rsidRPr="00C55BEE">
              <w:rPr>
                <w:rFonts w:ascii="Arial" w:hAnsi="Arial" w:cs="Arial"/>
              </w:rPr>
              <w:lastRenderedPageBreak/>
              <w:t>Data rate</w:t>
            </w:r>
          </w:p>
        </w:tc>
        <w:tc>
          <w:tcPr>
            <w:tcW w:w="3102" w:type="dxa"/>
          </w:tcPr>
          <w:p w14:paraId="28A869F7" w14:textId="03C4EA3D" w:rsidR="000E24E2" w:rsidRPr="00C55BEE" w:rsidRDefault="000E24E2" w:rsidP="000E24E2">
            <w:pPr>
              <w:rPr>
                <w:rFonts w:ascii="Arial" w:hAnsi="Arial" w:cs="Arial"/>
              </w:rPr>
            </w:pPr>
            <w:r w:rsidRPr="00C55BEE">
              <w:rPr>
                <w:rFonts w:ascii="Arial" w:hAnsi="Arial" w:cs="Arial"/>
              </w:rPr>
              <w:t>24Mbps</w:t>
            </w:r>
          </w:p>
        </w:tc>
        <w:tc>
          <w:tcPr>
            <w:tcW w:w="3103" w:type="dxa"/>
          </w:tcPr>
          <w:p w14:paraId="5FF60424" w14:textId="77A2656A" w:rsidR="000E24E2" w:rsidRPr="00C55BEE" w:rsidRDefault="000E24E2" w:rsidP="000E24E2">
            <w:pPr>
              <w:rPr>
                <w:rFonts w:ascii="Arial" w:hAnsi="Arial" w:cs="Arial"/>
              </w:rPr>
            </w:pPr>
            <w:r w:rsidRPr="00C55BEE">
              <w:rPr>
                <w:rFonts w:ascii="Arial" w:hAnsi="Arial" w:cs="Arial"/>
              </w:rPr>
              <w:t>20Mbps</w:t>
            </w:r>
          </w:p>
        </w:tc>
      </w:tr>
      <w:tr w:rsidR="000E24E2" w14:paraId="7C2BDEFB" w14:textId="77777777" w:rsidTr="00F5645C">
        <w:tc>
          <w:tcPr>
            <w:tcW w:w="3102" w:type="dxa"/>
          </w:tcPr>
          <w:p w14:paraId="1E970B37" w14:textId="611101CF" w:rsidR="000E24E2" w:rsidRPr="00C55BEE" w:rsidRDefault="000E24E2" w:rsidP="000E24E2">
            <w:pPr>
              <w:rPr>
                <w:rFonts w:ascii="Arial" w:hAnsi="Arial" w:cs="Arial"/>
              </w:rPr>
            </w:pPr>
            <w:proofErr w:type="spellStart"/>
            <w:r w:rsidRPr="00C55BEE">
              <w:rPr>
                <w:rFonts w:ascii="Arial" w:hAnsi="Arial" w:cs="Arial"/>
              </w:rPr>
              <w:t>cDRX</w:t>
            </w:r>
            <w:proofErr w:type="spellEnd"/>
            <w:r w:rsidRPr="00C55BEE">
              <w:rPr>
                <w:rFonts w:ascii="Arial" w:hAnsi="Arial" w:cs="Arial"/>
              </w:rPr>
              <w:t xml:space="preserve"> setting</w:t>
            </w:r>
          </w:p>
        </w:tc>
        <w:tc>
          <w:tcPr>
            <w:tcW w:w="3102" w:type="dxa"/>
          </w:tcPr>
          <w:p w14:paraId="6F1C3FA8" w14:textId="41E8FD5B" w:rsidR="000E24E2" w:rsidRPr="00C55BEE" w:rsidRDefault="000E24E2" w:rsidP="000E24E2">
            <w:pPr>
              <w:rPr>
                <w:rFonts w:ascii="Arial" w:hAnsi="Arial" w:cs="Arial"/>
              </w:rPr>
            </w:pPr>
            <w:r w:rsidRPr="00C55BEE">
              <w:rPr>
                <w:rFonts w:ascii="Arial" w:hAnsi="Arial" w:cs="Arial"/>
              </w:rPr>
              <w:t xml:space="preserve">Long cycle: </w:t>
            </w:r>
            <w:r w:rsidRPr="00C55BEE">
              <w:rPr>
                <w:rFonts w:ascii="Arial" w:hAnsi="Arial" w:cs="Arial"/>
              </w:rPr>
              <w:t>20</w:t>
            </w:r>
            <w:r w:rsidRPr="00C55BEE">
              <w:rPr>
                <w:rFonts w:ascii="Arial" w:hAnsi="Arial" w:cs="Arial"/>
              </w:rPr>
              <w:t>ms</w:t>
            </w:r>
          </w:p>
          <w:p w14:paraId="29C2F57C" w14:textId="77777777" w:rsidR="000E24E2" w:rsidRPr="00C55BEE" w:rsidRDefault="000E24E2" w:rsidP="000E24E2">
            <w:pPr>
              <w:rPr>
                <w:rFonts w:ascii="Arial" w:hAnsi="Arial" w:cs="Arial"/>
              </w:rPr>
            </w:pPr>
            <w:r w:rsidRPr="00C55BEE">
              <w:rPr>
                <w:rFonts w:ascii="Arial" w:hAnsi="Arial" w:cs="Arial"/>
              </w:rPr>
              <w:t>On duration: 5ms</w:t>
            </w:r>
          </w:p>
          <w:p w14:paraId="7E684841" w14:textId="77777777" w:rsidR="000E24E2" w:rsidRPr="00C55BEE" w:rsidRDefault="000E24E2" w:rsidP="000E24E2">
            <w:pPr>
              <w:rPr>
                <w:rFonts w:ascii="Arial" w:hAnsi="Arial" w:cs="Arial"/>
              </w:rPr>
            </w:pPr>
            <w:r w:rsidRPr="00C55BEE">
              <w:rPr>
                <w:rFonts w:ascii="Arial" w:hAnsi="Arial" w:cs="Arial"/>
              </w:rPr>
              <w:t>Inactivity timer: 10ms</w:t>
            </w:r>
          </w:p>
          <w:p w14:paraId="2395ECDD" w14:textId="21007D40" w:rsidR="000E24E2" w:rsidRPr="00C55BEE" w:rsidRDefault="000E24E2" w:rsidP="000E24E2">
            <w:pPr>
              <w:rPr>
                <w:rFonts w:ascii="Arial" w:hAnsi="Arial" w:cs="Arial"/>
              </w:rPr>
            </w:pPr>
            <w:r w:rsidRPr="00C55BEE">
              <w:rPr>
                <w:rFonts w:ascii="Arial" w:hAnsi="Arial" w:cs="Arial"/>
              </w:rPr>
              <w:t>Note: short DRX cycle can also be investigated</w:t>
            </w:r>
          </w:p>
        </w:tc>
        <w:tc>
          <w:tcPr>
            <w:tcW w:w="3103" w:type="dxa"/>
          </w:tcPr>
          <w:p w14:paraId="49224465" w14:textId="77777777" w:rsidR="000E24E2" w:rsidRPr="00C55BEE" w:rsidRDefault="000E24E2" w:rsidP="000E24E2">
            <w:pPr>
              <w:rPr>
                <w:rFonts w:ascii="Arial" w:hAnsi="Arial" w:cs="Arial"/>
              </w:rPr>
            </w:pPr>
            <w:r w:rsidRPr="00C55BEE">
              <w:rPr>
                <w:rFonts w:ascii="Arial" w:hAnsi="Arial" w:cs="Arial"/>
              </w:rPr>
              <w:t>Long cycle: 160ms</w:t>
            </w:r>
          </w:p>
          <w:p w14:paraId="42A6ADAF" w14:textId="77777777" w:rsidR="000E24E2" w:rsidRPr="00C55BEE" w:rsidRDefault="000E24E2" w:rsidP="000E24E2">
            <w:pPr>
              <w:rPr>
                <w:rFonts w:ascii="Arial" w:hAnsi="Arial" w:cs="Arial"/>
              </w:rPr>
            </w:pPr>
            <w:r w:rsidRPr="00C55BEE">
              <w:rPr>
                <w:rFonts w:ascii="Arial" w:hAnsi="Arial" w:cs="Arial"/>
              </w:rPr>
              <w:t>On duration: 5ms</w:t>
            </w:r>
          </w:p>
          <w:p w14:paraId="4A54448E" w14:textId="77777777" w:rsidR="000E24E2" w:rsidRPr="00C55BEE" w:rsidRDefault="000E24E2" w:rsidP="000E24E2">
            <w:pPr>
              <w:rPr>
                <w:rFonts w:ascii="Arial" w:hAnsi="Arial" w:cs="Arial"/>
              </w:rPr>
            </w:pPr>
            <w:r w:rsidRPr="00C55BEE">
              <w:rPr>
                <w:rFonts w:ascii="Arial" w:hAnsi="Arial" w:cs="Arial"/>
              </w:rPr>
              <w:t>Inactivity timer: 100ms</w:t>
            </w:r>
          </w:p>
          <w:p w14:paraId="49AC9062" w14:textId="28EC96C1" w:rsidR="000E24E2" w:rsidRPr="00C55BEE" w:rsidRDefault="000E24E2" w:rsidP="000E24E2">
            <w:pPr>
              <w:rPr>
                <w:rFonts w:ascii="Arial" w:hAnsi="Arial" w:cs="Arial"/>
              </w:rPr>
            </w:pPr>
            <w:r w:rsidRPr="00C55BEE">
              <w:rPr>
                <w:rFonts w:ascii="Arial" w:hAnsi="Arial" w:cs="Arial"/>
              </w:rPr>
              <w:t xml:space="preserve">Note: </w:t>
            </w:r>
            <w:r w:rsidRPr="00C55BEE">
              <w:rPr>
                <w:rFonts w:ascii="Arial" w:hAnsi="Arial" w:cs="Arial"/>
              </w:rPr>
              <w:t xml:space="preserve">some evaluation results </w:t>
            </w:r>
            <w:r w:rsidRPr="00C55BEE">
              <w:rPr>
                <w:rFonts w:ascii="Arial" w:hAnsi="Arial" w:cs="Arial"/>
              </w:rPr>
              <w:t>additionally</w:t>
            </w:r>
            <w:r w:rsidRPr="00C55BEE">
              <w:rPr>
                <w:rFonts w:ascii="Arial" w:hAnsi="Arial" w:cs="Arial"/>
              </w:rPr>
              <w:t xml:space="preserve"> considered short DRX cycle </w:t>
            </w:r>
          </w:p>
        </w:tc>
      </w:tr>
    </w:tbl>
    <w:p w14:paraId="2CF1B8A0" w14:textId="50448D18" w:rsidR="000E24E2" w:rsidRDefault="000E24E2" w:rsidP="002870AB">
      <w:pPr>
        <w:rPr>
          <w:lang w:eastAsia="zh-CN"/>
        </w:rPr>
      </w:pPr>
    </w:p>
    <w:p w14:paraId="70E5A9AF" w14:textId="2CE69EF4" w:rsidR="000E24E2" w:rsidRDefault="00556B77" w:rsidP="002870AB">
      <w:pPr>
        <w:rPr>
          <w:lang w:eastAsia="zh-CN"/>
        </w:rPr>
      </w:pPr>
      <w:r w:rsidRPr="00556B77">
        <w:rPr>
          <w:b/>
          <w:lang w:eastAsia="zh-CN"/>
        </w:rPr>
        <w:t xml:space="preserve">Proposal </w:t>
      </w:r>
      <w:r w:rsidR="00F51343">
        <w:rPr>
          <w:b/>
          <w:lang w:eastAsia="zh-CN"/>
        </w:rPr>
        <w:t>1</w:t>
      </w:r>
      <w:r w:rsidRPr="00556B77">
        <w:rPr>
          <w:b/>
          <w:lang w:eastAsia="zh-CN"/>
        </w:rPr>
        <w:t>. Update TR38.840 to include a high data intensity traffic model that supports a high data rate with frequent data activity</w:t>
      </w:r>
      <w:r>
        <w:rPr>
          <w:lang w:eastAsia="zh-CN"/>
        </w:rPr>
        <w:t>.</w:t>
      </w:r>
    </w:p>
    <w:p w14:paraId="7CE5F839" w14:textId="292DC3D0" w:rsidR="00556B77" w:rsidRDefault="00556B77" w:rsidP="002870AB">
      <w:pPr>
        <w:rPr>
          <w:lang w:eastAsia="zh-CN"/>
        </w:rPr>
      </w:pPr>
      <w:r>
        <w:rPr>
          <w:lang w:eastAsia="zh-CN"/>
        </w:rPr>
        <w:t xml:space="preserve">One approach to optimizing power consumption in these studies (Rel-16 and Rel-17 power saving studies) is to consider a single traffic model and to then optimize a power saving scheme to fit the characteristics of that traffic model. Adopting such an approach leads to larger theoretical power saving gains but is not very useful for improving the power consumption of a real </w:t>
      </w:r>
      <w:r w:rsidR="009D1BAC">
        <w:rPr>
          <w:lang w:eastAsia="zh-CN"/>
        </w:rPr>
        <w:t>UE</w:t>
      </w:r>
      <w:r>
        <w:rPr>
          <w:lang w:eastAsia="zh-CN"/>
        </w:rPr>
        <w:t xml:space="preserve"> that supports different traffic models simultaneously.</w:t>
      </w:r>
    </w:p>
    <w:p w14:paraId="0D85B480" w14:textId="44924C39" w:rsidR="00556B77" w:rsidRDefault="00556B77" w:rsidP="002870AB">
      <w:r>
        <w:rPr>
          <w:lang w:eastAsia="zh-CN"/>
        </w:rPr>
        <w:t xml:space="preserve">In order to more realistically model device power consumption, the study should consider the </w:t>
      </w:r>
      <w:r w:rsidR="009D1BAC">
        <w:rPr>
          <w:lang w:eastAsia="zh-CN"/>
        </w:rPr>
        <w:t>UE</w:t>
      </w:r>
      <w:r>
        <w:rPr>
          <w:lang w:eastAsia="zh-CN"/>
        </w:rPr>
        <w:t xml:space="preserve"> simultaneously support</w:t>
      </w:r>
      <w:r w:rsidR="00F51343">
        <w:rPr>
          <w:lang w:eastAsia="zh-CN"/>
        </w:rPr>
        <w:t>ing</w:t>
      </w:r>
      <w:r>
        <w:rPr>
          <w:lang w:eastAsia="zh-CN"/>
        </w:rPr>
        <w:t xml:space="preserve"> different traffic models, such as the Rel-16 and Rel-17 FTP3 traffic models of </w:t>
      </w:r>
      <w:r>
        <w:fldChar w:fldCharType="begin"/>
      </w:r>
      <w:r>
        <w:instrText xml:space="preserve"> REF _Ref47719118 \h </w:instrText>
      </w:r>
      <w:r>
        <w:fldChar w:fldCharType="separate"/>
      </w:r>
      <w:r w:rsidR="00F51343">
        <w:t xml:space="preserve">Table </w:t>
      </w:r>
      <w:r w:rsidR="00F51343">
        <w:rPr>
          <w:noProof/>
        </w:rPr>
        <w:t>1</w:t>
      </w:r>
      <w:r>
        <w:fldChar w:fldCharType="end"/>
      </w:r>
      <w:r>
        <w:t xml:space="preserve"> and the </w:t>
      </w:r>
      <w:r w:rsidR="009D1BAC">
        <w:t>web browsing</w:t>
      </w:r>
      <w:r>
        <w:t xml:space="preserve"> traffic model detailed in TR38.840 </w:t>
      </w:r>
      <w:r>
        <w:fldChar w:fldCharType="begin"/>
      </w:r>
      <w:r>
        <w:instrText xml:space="preserve"> REF _Ref47719610 \r \h </w:instrText>
      </w:r>
      <w:r>
        <w:fldChar w:fldCharType="separate"/>
      </w:r>
      <w:r w:rsidR="00F51343">
        <w:t>[2]</w:t>
      </w:r>
      <w:r>
        <w:fldChar w:fldCharType="end"/>
      </w:r>
      <w:r w:rsidR="009D1BAC">
        <w:t>.</w:t>
      </w:r>
    </w:p>
    <w:p w14:paraId="6055305A" w14:textId="35DA83A0" w:rsidR="00556B77" w:rsidRDefault="009D1BAC" w:rsidP="002870AB">
      <w:pPr>
        <w:rPr>
          <w:lang w:eastAsia="zh-CN"/>
        </w:rPr>
      </w:pPr>
      <w:r w:rsidRPr="00556B77">
        <w:rPr>
          <w:b/>
          <w:lang w:eastAsia="zh-CN"/>
        </w:rPr>
        <w:t xml:space="preserve">Proposal </w:t>
      </w:r>
      <w:r w:rsidR="00F51343">
        <w:rPr>
          <w:b/>
          <w:lang w:eastAsia="zh-CN"/>
        </w:rPr>
        <w:t>2</w:t>
      </w:r>
      <w:r w:rsidRPr="00556B77">
        <w:rPr>
          <w:b/>
          <w:lang w:eastAsia="zh-CN"/>
        </w:rPr>
        <w:t>.</w:t>
      </w:r>
      <w:r>
        <w:rPr>
          <w:b/>
          <w:lang w:eastAsia="zh-CN"/>
        </w:rPr>
        <w:t xml:space="preserve"> Evaluations should consider the UE simultaneously supporting different traffic models in order to more realistically model UE operation</w:t>
      </w:r>
      <w:r>
        <w:rPr>
          <w:lang w:eastAsia="zh-CN"/>
        </w:rPr>
        <w:t>.</w:t>
      </w:r>
    </w:p>
    <w:p w14:paraId="7905767E" w14:textId="01B3C3AE" w:rsidR="00C74DBE" w:rsidRDefault="009D1BAC" w:rsidP="00C74DBE">
      <w:pPr>
        <w:pStyle w:val="Heading1"/>
        <w:spacing w:after="80"/>
        <w:jc w:val="left"/>
        <w:rPr>
          <w:color w:val="000000" w:themeColor="text1"/>
          <w:sz w:val="24"/>
          <w:lang w:eastAsia="zh-CN"/>
        </w:rPr>
      </w:pPr>
      <w:r>
        <w:rPr>
          <w:color w:val="000000" w:themeColor="text1"/>
          <w:sz w:val="24"/>
          <w:lang w:eastAsia="zh-CN"/>
        </w:rPr>
        <w:t>Candidate Power Saving Schemes for Evaluation</w:t>
      </w:r>
    </w:p>
    <w:p w14:paraId="1457E385" w14:textId="77777777" w:rsidR="009D1BAC" w:rsidRDefault="009D1BAC" w:rsidP="009D1BAC">
      <w:pPr>
        <w:pStyle w:val="Heading2"/>
        <w:rPr>
          <w:lang w:val="en-GB" w:eastAsia="ja-JP"/>
        </w:rPr>
      </w:pPr>
      <w:r>
        <w:rPr>
          <w:lang w:val="en-GB" w:eastAsia="ja-JP"/>
        </w:rPr>
        <w:t>Dynamic DRX configuration</w:t>
      </w:r>
    </w:p>
    <w:p w14:paraId="0AC01221" w14:textId="77777777" w:rsidR="009D1BAC" w:rsidRPr="00274A07" w:rsidRDefault="009D1BAC" w:rsidP="009D1BAC">
      <w:r w:rsidRPr="00274A07">
        <w:t>This section considers dynamically changing the DRX configuration by physical layer signaling. For example, the physical layer signaling could dynamically change the rate of PDCCH monitoring</w:t>
      </w:r>
      <w:r>
        <w:t xml:space="preserve"> or DRX configuration</w:t>
      </w:r>
      <w:r w:rsidRPr="00274A07">
        <w:t xml:space="preserve"> etc.   </w:t>
      </w:r>
    </w:p>
    <w:p w14:paraId="058420EF" w14:textId="77777777" w:rsidR="009D1BAC" w:rsidRPr="00274A07" w:rsidRDefault="009D1BAC" w:rsidP="009D1BAC">
      <w:r>
        <w:t>In Rel-16, DRX parameters are typically configured</w:t>
      </w:r>
      <w:r w:rsidRPr="00274A07">
        <w:t xml:space="preserve"> </w:t>
      </w:r>
      <w:r>
        <w:t xml:space="preserve">by </w:t>
      </w:r>
      <w:r w:rsidRPr="00274A07">
        <w:t>RRC at connection setup and while they can be reconfigured over time</w:t>
      </w:r>
      <w:r>
        <w:t xml:space="preserve">, </w:t>
      </w:r>
      <w:r w:rsidRPr="00274A07">
        <w:t xml:space="preserve">this RRC configuration / reconfiguration process is rather slow. </w:t>
      </w:r>
      <w:r>
        <w:t xml:space="preserve">This reconfiguration can be performed in response to a preferred UE DRX configuration being signaled by the UE to the network as UE assistance information. </w:t>
      </w:r>
      <w:r w:rsidRPr="00274A07">
        <w:t xml:space="preserve">The slow nature of RRC configuration / </w:t>
      </w:r>
      <w:proofErr w:type="gramStart"/>
      <w:r w:rsidRPr="00274A07">
        <w:t>reconfiguration  may</w:t>
      </w:r>
      <w:proofErr w:type="gramEnd"/>
      <w:r w:rsidRPr="00274A07">
        <w:t xml:space="preserve"> make the network reticent to change DRX parameters and </w:t>
      </w:r>
      <w:r>
        <w:t>a</w:t>
      </w:r>
      <w:r w:rsidRPr="00274A07">
        <w:t xml:space="preserve">s a result, the UE </w:t>
      </w:r>
      <w:r>
        <w:t>rate of PDCCH monitoring</w:t>
      </w:r>
      <w:r w:rsidRPr="00274A07">
        <w:t xml:space="preserve"> may not be tailored towards its current traffic pattern and buffer state, resulting in </w:t>
      </w:r>
      <w:r>
        <w:t>the UE unnecessarily monitoring a large number of PDCCH that never actually schedule the UE</w:t>
      </w:r>
      <w:r w:rsidRPr="00274A07">
        <w:t xml:space="preserve">. </w:t>
      </w:r>
    </w:p>
    <w:p w14:paraId="38F012FE" w14:textId="4083526A" w:rsidR="009D1BAC" w:rsidRPr="00274A07" w:rsidRDefault="009D1BAC" w:rsidP="009D1BAC">
      <w:proofErr w:type="gramStart"/>
      <w:r>
        <w:t>Hence</w:t>
      </w:r>
      <w:proofErr w:type="gramEnd"/>
      <w:r>
        <w:t xml:space="preserve"> we propose to</w:t>
      </w:r>
      <w:r w:rsidRPr="00274A07">
        <w:t xml:space="preserve"> </w:t>
      </w:r>
      <w:r>
        <w:t>study</w:t>
      </w:r>
      <w:r w:rsidRPr="00274A07">
        <w:t xml:space="preserve"> dynamic DRX configuration</w:t>
      </w:r>
      <w:r>
        <w:t xml:space="preserve"> in the study</w:t>
      </w:r>
      <w:r w:rsidR="00F51343">
        <w:t xml:space="preserve"> phase of this work</w:t>
      </w:r>
      <w:r>
        <w:t xml:space="preserve"> item, where the objective of the dynamic DRX configuration</w:t>
      </w:r>
      <w:r w:rsidRPr="00274A07">
        <w:t xml:space="preserve"> is to reduce the UE “idle” PDCCH monitoring, particularly when there is no traffic between the UE and network. </w:t>
      </w:r>
    </w:p>
    <w:p w14:paraId="6D156D84" w14:textId="77777777" w:rsidR="009D1BAC" w:rsidRPr="00274A07" w:rsidRDefault="009D1BAC" w:rsidP="009D1BAC">
      <w:r w:rsidRPr="00274A07">
        <w:t>To facilitate a UE performing dynamic DRX operation, we propose a</w:t>
      </w:r>
      <w:r>
        <w:t>n</w:t>
      </w:r>
      <w:r w:rsidRPr="00274A07">
        <w:t xml:space="preserve"> </w:t>
      </w:r>
      <w:r>
        <w:t>L1</w:t>
      </w:r>
      <w:r w:rsidRPr="00274A07">
        <w:t xml:space="preserve"> dynamic signaling mechanism where the configuration of the inactivity timer and DRX cycles in connected mode can be easily and quickly adapted based on the traffic for the UE or network conditions.</w:t>
      </w:r>
      <w:r>
        <w:t xml:space="preserve"> Controlling the inactivity timer and configuration of the DRX cycles alters the amount of PDCCH monitoring performed by the UE. The L1 dynamic </w:t>
      </w:r>
      <w:proofErr w:type="spellStart"/>
      <w:r>
        <w:t>signalling</w:t>
      </w:r>
      <w:proofErr w:type="spellEnd"/>
      <w:r>
        <w:t xml:space="preserve"> can be used for the activation/selection of an active DRX configuration that had previously been configured by RRC </w:t>
      </w:r>
      <w:proofErr w:type="spellStart"/>
      <w:r>
        <w:t>signalling</w:t>
      </w:r>
      <w:proofErr w:type="spellEnd"/>
      <w:r>
        <w:t>. The L1 dynamic signaling could be sent via DCI after the main part of data transmission is terminated, either in DL or UL.</w:t>
      </w:r>
    </w:p>
    <w:p w14:paraId="6A175996" w14:textId="09479B8C" w:rsidR="009D1BAC" w:rsidRDefault="009D1BAC" w:rsidP="009D1BAC">
      <w:pPr>
        <w:rPr>
          <w:color w:val="000000"/>
        </w:rPr>
      </w:pPr>
      <w:r w:rsidRPr="00274A07">
        <w:rPr>
          <w:color w:val="000000"/>
        </w:rPr>
        <w:fldChar w:fldCharType="begin"/>
      </w:r>
      <w:r w:rsidRPr="00274A07">
        <w:rPr>
          <w:color w:val="000000"/>
        </w:rPr>
        <w:instrText xml:space="preserve"> REF _Ref528921594 \h </w:instrText>
      </w:r>
      <w:r w:rsidRPr="00274A07">
        <w:rPr>
          <w:color w:val="000000"/>
        </w:rPr>
      </w:r>
      <w:r w:rsidRPr="00274A07">
        <w:rPr>
          <w:color w:val="000000"/>
        </w:rPr>
        <w:fldChar w:fldCharType="separate"/>
      </w:r>
      <w:r w:rsidR="00F51343" w:rsidRPr="00274A07">
        <w:t xml:space="preserve">Figure </w:t>
      </w:r>
      <w:r w:rsidR="00F51343">
        <w:rPr>
          <w:noProof/>
        </w:rPr>
        <w:t>1</w:t>
      </w:r>
      <w:r w:rsidRPr="00274A07">
        <w:rPr>
          <w:color w:val="000000"/>
        </w:rPr>
        <w:fldChar w:fldCharType="end"/>
      </w:r>
      <w:r w:rsidRPr="00274A07">
        <w:rPr>
          <w:color w:val="000000"/>
        </w:rPr>
        <w:t xml:space="preserve"> illustrate</w:t>
      </w:r>
      <w:r>
        <w:rPr>
          <w:color w:val="000000"/>
        </w:rPr>
        <w:t>s</w:t>
      </w:r>
      <w:r w:rsidRPr="00274A07">
        <w:rPr>
          <w:color w:val="000000"/>
        </w:rPr>
        <w:t xml:space="preserve"> </w:t>
      </w:r>
      <w:r>
        <w:rPr>
          <w:color w:val="000000"/>
        </w:rPr>
        <w:t>a</w:t>
      </w:r>
      <w:r w:rsidRPr="00274A07">
        <w:rPr>
          <w:color w:val="000000"/>
        </w:rPr>
        <w:t xml:space="preserve"> comparison of the existing (legacy) solution with </w:t>
      </w:r>
      <w:r>
        <w:rPr>
          <w:color w:val="000000"/>
        </w:rPr>
        <w:t>the dynamic DRX configuration scheme that we propose to study</w:t>
      </w:r>
      <w:r w:rsidRPr="00274A07">
        <w:rPr>
          <w:color w:val="000000"/>
        </w:rPr>
        <w:t xml:space="preserve">. In this </w:t>
      </w:r>
      <w:r w:rsidRPr="00274A07">
        <w:rPr>
          <w:color w:val="000000"/>
        </w:rPr>
        <w:fldChar w:fldCharType="begin"/>
      </w:r>
      <w:r w:rsidRPr="00274A07">
        <w:rPr>
          <w:color w:val="000000"/>
        </w:rPr>
        <w:instrText xml:space="preserve"> REF _Ref528921594 \h </w:instrText>
      </w:r>
      <w:r w:rsidRPr="00274A07">
        <w:rPr>
          <w:color w:val="000000"/>
        </w:rPr>
      </w:r>
      <w:r w:rsidRPr="00274A07">
        <w:rPr>
          <w:color w:val="000000"/>
        </w:rPr>
        <w:fldChar w:fldCharType="separate"/>
      </w:r>
      <w:r w:rsidR="00F51343" w:rsidRPr="00274A07">
        <w:t xml:space="preserve">Figure </w:t>
      </w:r>
      <w:r w:rsidR="00F51343">
        <w:rPr>
          <w:noProof/>
        </w:rPr>
        <w:t>1</w:t>
      </w:r>
      <w:r w:rsidRPr="00274A07">
        <w:rPr>
          <w:color w:val="000000"/>
        </w:rPr>
        <w:fldChar w:fldCharType="end"/>
      </w:r>
      <w:r w:rsidRPr="00274A07">
        <w:rPr>
          <w:color w:val="000000"/>
        </w:rPr>
        <w:t xml:space="preserve">, t1 and t2 </w:t>
      </w:r>
      <w:proofErr w:type="gramStart"/>
      <w:r w:rsidRPr="00274A07">
        <w:rPr>
          <w:color w:val="000000"/>
        </w:rPr>
        <w:t>are ”off</w:t>
      </w:r>
      <w:proofErr w:type="gramEnd"/>
      <w:r w:rsidRPr="00274A07">
        <w:rPr>
          <w:color w:val="000000"/>
        </w:rPr>
        <w:t>” and “on” time periods</w:t>
      </w:r>
      <w:r>
        <w:rPr>
          <w:color w:val="000000"/>
        </w:rPr>
        <w:t>, where the UE monitors PDCCH during the “on” time periods</w:t>
      </w:r>
      <w:r w:rsidRPr="00274A07">
        <w:rPr>
          <w:color w:val="000000"/>
        </w:rPr>
        <w:t>.</w:t>
      </w:r>
      <w:r>
        <w:rPr>
          <w:color w:val="000000"/>
        </w:rPr>
        <w:t xml:space="preserve"> RRC can configure pairs of values of {t</w:t>
      </w:r>
      <w:proofErr w:type="gramStart"/>
      <w:r>
        <w:rPr>
          <w:color w:val="000000"/>
        </w:rPr>
        <w:t>1,t</w:t>
      </w:r>
      <w:proofErr w:type="gramEnd"/>
      <w:r>
        <w:rPr>
          <w:color w:val="000000"/>
        </w:rPr>
        <w:t>2} in a table and a DCI can be sent to indicate to the UE an index into that table.</w:t>
      </w:r>
      <w:r w:rsidRPr="00274A07">
        <w:rPr>
          <w:color w:val="000000"/>
        </w:rPr>
        <w:t xml:space="preserve"> </w:t>
      </w:r>
    </w:p>
    <w:p w14:paraId="1CD4BA6B" w14:textId="3AB5ACBB" w:rsidR="009D1BAC" w:rsidRDefault="009D1BAC" w:rsidP="009D1BAC">
      <w:pPr>
        <w:rPr>
          <w:color w:val="000000"/>
        </w:rPr>
      </w:pPr>
      <w:r>
        <w:rPr>
          <w:color w:val="000000"/>
        </w:rPr>
        <w:lastRenderedPageBreak/>
        <w:t xml:space="preserve">The figure shows “config 1”, which would be appropriate for </w:t>
      </w:r>
      <w:r w:rsidR="00F51343">
        <w:rPr>
          <w:color w:val="000000"/>
        </w:rPr>
        <w:t>one</w:t>
      </w:r>
      <w:r>
        <w:rPr>
          <w:color w:val="000000"/>
        </w:rPr>
        <w:t xml:space="preserve"> traffic model (e.g. FTP-like traffic), and “config 2”, which would be appropriate for </w:t>
      </w:r>
      <w:r w:rsidR="00F51343">
        <w:rPr>
          <w:color w:val="000000"/>
        </w:rPr>
        <w:t>another</w:t>
      </w:r>
      <w:r>
        <w:rPr>
          <w:color w:val="000000"/>
        </w:rPr>
        <w:t xml:space="preserve"> traffic model (e.g. HTTP-like traffic). These two traffic models could for instance be supported by a wearable “smartwatch” device, where a music-file download appears like FTP traffic and a fitness application appears like HTTP traffic. After some of the data packets of the traffic stream have been transmitted (and assuming the </w:t>
      </w:r>
      <w:proofErr w:type="spellStart"/>
      <w:r>
        <w:rPr>
          <w:color w:val="000000"/>
        </w:rPr>
        <w:t>gNodeB</w:t>
      </w:r>
      <w:proofErr w:type="spellEnd"/>
      <w:r>
        <w:rPr>
          <w:color w:val="000000"/>
        </w:rPr>
        <w:t xml:space="preserve"> is aware of the traffic type, e.g. via deep packet inspection or QCI), the </w:t>
      </w:r>
      <w:proofErr w:type="spellStart"/>
      <w:r>
        <w:rPr>
          <w:color w:val="000000"/>
        </w:rPr>
        <w:t>gNodeB</w:t>
      </w:r>
      <w:proofErr w:type="spellEnd"/>
      <w:r>
        <w:rPr>
          <w:color w:val="000000"/>
        </w:rPr>
        <w:t xml:space="preserve"> sends a DCI to the UE to indicate whether to apply “config 1” DRX / PDCCH monitoring (e.g. if the traffic is FTP) or to apply “config 2” DRX / PDCCH monitoring (e.g. if the traffic is HTTP).</w:t>
      </w:r>
    </w:p>
    <w:p w14:paraId="28005611" w14:textId="77777777" w:rsidR="009D1BAC" w:rsidRPr="00274A07" w:rsidRDefault="009D1BAC" w:rsidP="009D1BAC">
      <w:pPr>
        <w:rPr>
          <w:color w:val="000000"/>
        </w:rPr>
      </w:pPr>
      <w:r w:rsidRPr="00274A07">
        <w:rPr>
          <w:color w:val="000000"/>
        </w:rPr>
        <w:t>As can be seen</w:t>
      </w:r>
      <w:r>
        <w:rPr>
          <w:color w:val="000000"/>
        </w:rPr>
        <w:t xml:space="preserve"> from the above description</w:t>
      </w:r>
      <w:r w:rsidRPr="00274A07">
        <w:rPr>
          <w:color w:val="000000"/>
        </w:rPr>
        <w:t xml:space="preserve">, with the proposed functionality the DRX cycle can be dynamically configured based on the traffic type. Through this, the unnecessary energy cost of PDCCH channel monitoring can be reduced. The control of the </w:t>
      </w:r>
      <w:r>
        <w:rPr>
          <w:color w:val="000000"/>
        </w:rPr>
        <w:t xml:space="preserve">PDCCH </w:t>
      </w:r>
      <w:r w:rsidRPr="00274A07">
        <w:rPr>
          <w:color w:val="000000"/>
        </w:rPr>
        <w:t xml:space="preserve">monitoring can be done per UE by the base station, and the network can tailor a monitoring configuration based on the current UE traffic pattern. This gives a significantly more tailored UE receiver activity period depending on each UE traffic pattern compared to the legacy RRC based signaling, and therefore the </w:t>
      </w:r>
      <w:r>
        <w:rPr>
          <w:color w:val="000000"/>
        </w:rPr>
        <w:t>amount of unnecessary PDCCH monitoring can be reduced or eliminated</w:t>
      </w:r>
      <w:r w:rsidRPr="00274A07">
        <w:rPr>
          <w:color w:val="000000"/>
        </w:rPr>
        <w:t>.</w:t>
      </w:r>
    </w:p>
    <w:p w14:paraId="2FF290AF" w14:textId="77777777" w:rsidR="009D1BAC" w:rsidRPr="00274A07" w:rsidRDefault="009D1BAC" w:rsidP="009D1BAC">
      <w:r w:rsidRPr="00274A07">
        <w:rPr>
          <w:noProof/>
        </w:rPr>
        <w:object w:dxaOrig="9435" w:dyaOrig="6195" w14:anchorId="337E6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96pt" o:ole="">
            <v:imagedata r:id="rId12" o:title=""/>
          </v:shape>
          <o:OLEObject Type="Embed" ProgID="Visio.Drawing.11" ShapeID="_x0000_i1025" DrawAspect="Content" ObjectID="_1658336493" r:id="rId13"/>
        </w:object>
      </w:r>
    </w:p>
    <w:p w14:paraId="07A5607F" w14:textId="36375456" w:rsidR="009D1BAC" w:rsidRPr="00274A07" w:rsidRDefault="009D1BAC" w:rsidP="009D1BAC">
      <w:pPr>
        <w:pStyle w:val="Caption"/>
        <w:rPr>
          <w:b w:val="0"/>
        </w:rPr>
      </w:pPr>
      <w:bookmarkStart w:id="2" w:name="_Ref528921594"/>
      <w:r w:rsidRPr="00274A07">
        <w:t xml:space="preserve">Figure </w:t>
      </w:r>
      <w:r w:rsidRPr="00274A07">
        <w:fldChar w:fldCharType="begin"/>
      </w:r>
      <w:r w:rsidRPr="00274A07">
        <w:instrText xml:space="preserve"> SEQ Figure \* ARABIC </w:instrText>
      </w:r>
      <w:r w:rsidRPr="00274A07">
        <w:fldChar w:fldCharType="separate"/>
      </w:r>
      <w:r w:rsidR="00F51343">
        <w:rPr>
          <w:noProof/>
        </w:rPr>
        <w:t>1</w:t>
      </w:r>
      <w:r w:rsidRPr="00274A07">
        <w:fldChar w:fldCharType="end"/>
      </w:r>
      <w:bookmarkEnd w:id="2"/>
      <w:r w:rsidRPr="00274A07">
        <w:t xml:space="preserve"> – </w:t>
      </w:r>
      <w:r>
        <w:t>DCI control of DRX configuration / PDCCH monitoring</w:t>
      </w:r>
    </w:p>
    <w:p w14:paraId="6E739039" w14:textId="77777777" w:rsidR="009D1BAC" w:rsidRDefault="009D1BAC" w:rsidP="009D1BAC"/>
    <w:p w14:paraId="6270BB5D" w14:textId="01170168" w:rsidR="009D1BAC" w:rsidRDefault="009D1BAC" w:rsidP="009D1BAC">
      <w:r>
        <w:t xml:space="preserve">The power saving performance of dynamic DRX configuration was </w:t>
      </w:r>
      <w:proofErr w:type="spellStart"/>
      <w:r>
        <w:t>analysed</w:t>
      </w:r>
      <w:proofErr w:type="spellEnd"/>
      <w:r>
        <w:t xml:space="preserve"> and the results were noted in TR38.840 </w:t>
      </w:r>
      <w:r w:rsidR="00F51343">
        <w:fldChar w:fldCharType="begin"/>
      </w:r>
      <w:r w:rsidR="00F51343">
        <w:instrText xml:space="preserve"> REF _Ref47722957 \r \h </w:instrText>
      </w:r>
      <w:r w:rsidR="00F51343">
        <w:fldChar w:fldCharType="separate"/>
      </w:r>
      <w:r w:rsidR="00F51343">
        <w:t>[2]</w:t>
      </w:r>
      <w:r w:rsidR="00F51343">
        <w:fldChar w:fldCharType="end"/>
      </w:r>
      <w:r>
        <w:t xml:space="preserve">, where it was noted that a power saving gain of 48% was observed for the given evaluation assumptions. Further details on the evaluation are available in </w:t>
      </w:r>
      <w:r>
        <w:fldChar w:fldCharType="begin"/>
      </w:r>
      <w:r>
        <w:instrText xml:space="preserve"> REF _Ref47720077 \r \h </w:instrText>
      </w:r>
      <w:r>
        <w:fldChar w:fldCharType="separate"/>
      </w:r>
      <w:r w:rsidR="00F51343">
        <w:t>[3]</w:t>
      </w:r>
      <w:r>
        <w:fldChar w:fldCharType="end"/>
      </w:r>
      <w:r>
        <w:t>.</w:t>
      </w:r>
    </w:p>
    <w:p w14:paraId="19D0C4EA" w14:textId="053ADCF2" w:rsidR="009D1BAC" w:rsidRPr="00FB763D" w:rsidRDefault="009D1BAC" w:rsidP="009D1BAC">
      <w:pPr>
        <w:rPr>
          <w:b/>
        </w:rPr>
      </w:pPr>
      <w:r w:rsidRPr="00FB763D">
        <w:rPr>
          <w:b/>
        </w:rPr>
        <w:t xml:space="preserve">Proposal </w:t>
      </w:r>
      <w:r>
        <w:rPr>
          <w:b/>
        </w:rPr>
        <w:t>3</w:t>
      </w:r>
      <w:r w:rsidRPr="00FB763D">
        <w:rPr>
          <w:b/>
        </w:rPr>
        <w:t xml:space="preserve">: Study </w:t>
      </w:r>
      <w:r w:rsidR="00F51343">
        <w:rPr>
          <w:b/>
        </w:rPr>
        <w:t>dynamic</w:t>
      </w:r>
      <w:r w:rsidRPr="00FB763D">
        <w:rPr>
          <w:b/>
        </w:rPr>
        <w:t xml:space="preserve"> DRX configuration</w:t>
      </w:r>
      <w:r w:rsidR="00F51343">
        <w:rPr>
          <w:b/>
        </w:rPr>
        <w:t xml:space="preserve">, where the </w:t>
      </w:r>
      <w:r w:rsidR="00F51343" w:rsidRPr="00F51343">
        <w:rPr>
          <w:b/>
        </w:rPr>
        <w:t>configuration of the inactivity timer and DRX cycles</w:t>
      </w:r>
      <w:r w:rsidR="00F51343">
        <w:rPr>
          <w:b/>
        </w:rPr>
        <w:t xml:space="preserve"> can be signaled via DCI</w:t>
      </w:r>
      <w:r w:rsidRPr="00FB763D">
        <w:rPr>
          <w:b/>
        </w:rPr>
        <w:t>.</w:t>
      </w:r>
    </w:p>
    <w:p w14:paraId="791F0E96" w14:textId="77777777" w:rsidR="009D1BAC" w:rsidRDefault="009D1BAC" w:rsidP="009D1BAC"/>
    <w:p w14:paraId="1132EE7D" w14:textId="3E3AD18F" w:rsidR="00D72DFC" w:rsidRDefault="009D1BAC" w:rsidP="002870AB">
      <w:r>
        <w:t xml:space="preserve">Semi-static ways to reduce PDCCH monitoring were also considered in </w:t>
      </w:r>
      <w:r>
        <w:fldChar w:fldCharType="begin"/>
      </w:r>
      <w:r>
        <w:instrText xml:space="preserve"> REF _Ref47720077 \r \h </w:instrText>
      </w:r>
      <w:r>
        <w:fldChar w:fldCharType="separate"/>
      </w:r>
      <w:r w:rsidR="00F51343">
        <w:t>[3]</w:t>
      </w:r>
      <w:r>
        <w:fldChar w:fldCharType="end"/>
      </w:r>
      <w:r>
        <w:t>. For example, the rate of PDCCH monitoring could be changed as a function of operation of the inactivity timer or as a function of short DRX cycle operation. Such techniques may also be considered.</w:t>
      </w:r>
    </w:p>
    <w:p w14:paraId="3BCCCD5F" w14:textId="77777777" w:rsidR="002870AB" w:rsidRPr="002870AB" w:rsidRDefault="002870AB" w:rsidP="002870AB">
      <w:pPr>
        <w:rPr>
          <w:lang w:eastAsia="zh-CN"/>
        </w:rPr>
      </w:pPr>
    </w:p>
    <w:p w14:paraId="3FC55F81" w14:textId="105FBB25" w:rsidR="00CE1213" w:rsidRPr="00094F43" w:rsidRDefault="00094F43" w:rsidP="00387C77">
      <w:pPr>
        <w:pStyle w:val="Heading1"/>
        <w:spacing w:after="80"/>
        <w:jc w:val="left"/>
        <w:rPr>
          <w:sz w:val="24"/>
          <w:lang w:eastAsia="zh-CN"/>
        </w:rPr>
      </w:pPr>
      <w:r w:rsidRPr="006C202C">
        <w:rPr>
          <w:sz w:val="24"/>
          <w:lang w:eastAsia="zh-CN"/>
        </w:rPr>
        <w:lastRenderedPageBreak/>
        <w:t>Conclusions</w:t>
      </w:r>
    </w:p>
    <w:p w14:paraId="014A2888" w14:textId="77777777" w:rsidR="00F51343" w:rsidRDefault="00F51343" w:rsidP="00F51343">
      <w:pPr>
        <w:rPr>
          <w:lang w:eastAsia="zh-CN"/>
        </w:rPr>
      </w:pPr>
      <w:r w:rsidRPr="00556B77">
        <w:rPr>
          <w:b/>
          <w:lang w:eastAsia="zh-CN"/>
        </w:rPr>
        <w:t xml:space="preserve">Proposal </w:t>
      </w:r>
      <w:r>
        <w:rPr>
          <w:b/>
          <w:lang w:eastAsia="zh-CN"/>
        </w:rPr>
        <w:t>1</w:t>
      </w:r>
      <w:r w:rsidRPr="00556B77">
        <w:rPr>
          <w:b/>
          <w:lang w:eastAsia="zh-CN"/>
        </w:rPr>
        <w:t>. Update TR38.840 to include a high data intensity traffic model that supports a high data rate with frequent data activity</w:t>
      </w:r>
      <w:r>
        <w:rPr>
          <w:lang w:eastAsia="zh-CN"/>
        </w:rPr>
        <w:t>.</w:t>
      </w:r>
    </w:p>
    <w:p w14:paraId="4437BF37" w14:textId="77777777" w:rsidR="00F51343" w:rsidRDefault="00F51343" w:rsidP="00F51343">
      <w:pPr>
        <w:rPr>
          <w:lang w:eastAsia="zh-CN"/>
        </w:rPr>
      </w:pPr>
      <w:r w:rsidRPr="00556B77">
        <w:rPr>
          <w:b/>
          <w:lang w:eastAsia="zh-CN"/>
        </w:rPr>
        <w:t xml:space="preserve">Proposal </w:t>
      </w:r>
      <w:r>
        <w:rPr>
          <w:b/>
          <w:lang w:eastAsia="zh-CN"/>
        </w:rPr>
        <w:t>2</w:t>
      </w:r>
      <w:r w:rsidRPr="00556B77">
        <w:rPr>
          <w:b/>
          <w:lang w:eastAsia="zh-CN"/>
        </w:rPr>
        <w:t>.</w:t>
      </w:r>
      <w:r>
        <w:rPr>
          <w:b/>
          <w:lang w:eastAsia="zh-CN"/>
        </w:rPr>
        <w:t xml:space="preserve"> Evaluations should consider the UE simultaneously supporting different traffic models in order to more realistically model UE operation</w:t>
      </w:r>
      <w:r>
        <w:rPr>
          <w:lang w:eastAsia="zh-CN"/>
        </w:rPr>
        <w:t>.</w:t>
      </w:r>
    </w:p>
    <w:p w14:paraId="4C2FDA26" w14:textId="77777777" w:rsidR="00F51343" w:rsidRPr="00FB763D" w:rsidRDefault="00F51343" w:rsidP="00F51343">
      <w:pPr>
        <w:rPr>
          <w:b/>
        </w:rPr>
      </w:pPr>
      <w:r w:rsidRPr="00FB763D">
        <w:rPr>
          <w:b/>
        </w:rPr>
        <w:t xml:space="preserve">Proposal </w:t>
      </w:r>
      <w:r>
        <w:rPr>
          <w:b/>
        </w:rPr>
        <w:t>3</w:t>
      </w:r>
      <w:r w:rsidRPr="00FB763D">
        <w:rPr>
          <w:b/>
        </w:rPr>
        <w:t xml:space="preserve">: Study </w:t>
      </w:r>
      <w:r>
        <w:rPr>
          <w:b/>
        </w:rPr>
        <w:t>dynamic</w:t>
      </w:r>
      <w:r w:rsidRPr="00FB763D">
        <w:rPr>
          <w:b/>
        </w:rPr>
        <w:t xml:space="preserve"> DRX configuration</w:t>
      </w:r>
      <w:r>
        <w:rPr>
          <w:b/>
        </w:rPr>
        <w:t xml:space="preserve">, where the </w:t>
      </w:r>
      <w:r w:rsidRPr="00F51343">
        <w:rPr>
          <w:b/>
        </w:rPr>
        <w:t>configuration of the inactivity timer and DRX cycles</w:t>
      </w:r>
      <w:r>
        <w:rPr>
          <w:b/>
        </w:rPr>
        <w:t xml:space="preserve"> can be signaled via DCI</w:t>
      </w:r>
      <w:r w:rsidRPr="00FB763D">
        <w:rPr>
          <w:b/>
        </w:rPr>
        <w:t>.</w:t>
      </w:r>
    </w:p>
    <w:p w14:paraId="07FD2F3E" w14:textId="77777777" w:rsidR="00E25E48" w:rsidRDefault="00E25E48" w:rsidP="00E25E48">
      <w:pPr>
        <w:rPr>
          <w:b/>
        </w:rPr>
      </w:pPr>
    </w:p>
    <w:p w14:paraId="3E397DE7" w14:textId="1877DECF" w:rsidR="002348EF" w:rsidRPr="00B01F4C" w:rsidRDefault="002348EF" w:rsidP="00094F43">
      <w:pPr>
        <w:pStyle w:val="ListParagraph"/>
        <w:spacing w:after="80"/>
        <w:ind w:left="0"/>
        <w:rPr>
          <w:sz w:val="20"/>
        </w:rPr>
      </w:pPr>
    </w:p>
    <w:p w14:paraId="1A7ED4E3" w14:textId="41A90516" w:rsidR="002348EF" w:rsidRDefault="002348EF" w:rsidP="002348EF">
      <w:pPr>
        <w:pStyle w:val="Heading1"/>
        <w:spacing w:after="80"/>
        <w:jc w:val="left"/>
        <w:rPr>
          <w:sz w:val="24"/>
          <w:lang w:eastAsia="zh-CN"/>
        </w:rPr>
      </w:pPr>
      <w:r>
        <w:rPr>
          <w:sz w:val="24"/>
          <w:lang w:eastAsia="zh-CN"/>
        </w:rPr>
        <w:t>Reference</w:t>
      </w:r>
      <w:r w:rsidR="00E25E48">
        <w:rPr>
          <w:sz w:val="24"/>
          <w:lang w:eastAsia="zh-CN"/>
        </w:rPr>
        <w:t>s</w:t>
      </w:r>
    </w:p>
    <w:p w14:paraId="36D43953" w14:textId="134B48EE" w:rsidR="000E3469" w:rsidRDefault="000E3469" w:rsidP="000E3469">
      <w:pPr>
        <w:pStyle w:val="ListParagraph"/>
        <w:numPr>
          <w:ilvl w:val="0"/>
          <w:numId w:val="9"/>
        </w:numPr>
        <w:ind w:left="426" w:hanging="426"/>
        <w:rPr>
          <w:rFonts w:ascii="Times New Roman" w:hAnsi="Times New Roman" w:cs="Times New Roman"/>
        </w:rPr>
      </w:pPr>
      <w:bookmarkStart w:id="3" w:name="_Ref40204599"/>
      <w:r>
        <w:rPr>
          <w:rFonts w:ascii="Times New Roman" w:hAnsi="Times New Roman" w:cs="Times New Roman"/>
        </w:rPr>
        <w:t>RP-1932</w:t>
      </w:r>
      <w:r w:rsidR="00C74DBE">
        <w:rPr>
          <w:rFonts w:ascii="Times New Roman" w:hAnsi="Times New Roman" w:cs="Times New Roman"/>
        </w:rPr>
        <w:t>39</w:t>
      </w:r>
      <w:r w:rsidR="00E83756">
        <w:rPr>
          <w:rFonts w:ascii="Times New Roman" w:hAnsi="Times New Roman" w:cs="Times New Roman"/>
        </w:rPr>
        <w:t>.</w:t>
      </w:r>
      <w:r>
        <w:rPr>
          <w:rFonts w:ascii="Times New Roman" w:hAnsi="Times New Roman" w:cs="Times New Roman"/>
        </w:rPr>
        <w:t xml:space="preserve"> </w:t>
      </w:r>
      <w:r w:rsidR="00E83756">
        <w:rPr>
          <w:rFonts w:ascii="Times New Roman" w:hAnsi="Times New Roman" w:cs="Times New Roman"/>
        </w:rPr>
        <w:t>“</w:t>
      </w:r>
      <w:bookmarkEnd w:id="3"/>
      <w:r w:rsidR="00C74DBE" w:rsidRPr="00C74DBE">
        <w:rPr>
          <w:rFonts w:ascii="Times New Roman" w:hAnsi="Times New Roman" w:cs="Times New Roman"/>
        </w:rPr>
        <w:t>New WID: UE Power Saving Enhancements</w:t>
      </w:r>
      <w:r w:rsidR="00E83756">
        <w:rPr>
          <w:rFonts w:ascii="Times New Roman" w:hAnsi="Times New Roman" w:cs="Times New Roman"/>
        </w:rPr>
        <w:t xml:space="preserve">”. RAN plenary # 86. </w:t>
      </w:r>
      <w:proofErr w:type="spellStart"/>
      <w:r w:rsidR="00E83756">
        <w:rPr>
          <w:rFonts w:ascii="Times New Roman" w:hAnsi="Times New Roman" w:cs="Times New Roman"/>
        </w:rPr>
        <w:t>Sitges</w:t>
      </w:r>
      <w:proofErr w:type="spellEnd"/>
      <w:r w:rsidR="00E83756">
        <w:rPr>
          <w:rFonts w:ascii="Times New Roman" w:hAnsi="Times New Roman" w:cs="Times New Roman"/>
        </w:rPr>
        <w:t>, Spain. December 2019.</w:t>
      </w:r>
    </w:p>
    <w:p w14:paraId="4A398929" w14:textId="4F48914A" w:rsidR="00556B77" w:rsidRPr="009D1BAC" w:rsidRDefault="00556B77" w:rsidP="000E3469">
      <w:pPr>
        <w:pStyle w:val="ListParagraph"/>
        <w:numPr>
          <w:ilvl w:val="0"/>
          <w:numId w:val="9"/>
        </w:numPr>
        <w:ind w:left="426" w:hanging="426"/>
        <w:rPr>
          <w:rFonts w:ascii="Times New Roman" w:hAnsi="Times New Roman" w:cs="Times New Roman"/>
        </w:rPr>
      </w:pPr>
      <w:bookmarkStart w:id="4" w:name="_Ref47719610"/>
      <w:bookmarkStart w:id="5" w:name="_Ref47722957"/>
      <w:r>
        <w:rPr>
          <w:rFonts w:ascii="Times New Roman" w:hAnsi="Times New Roman" w:cs="Times New Roman"/>
        </w:rPr>
        <w:t>TR38.840.</w:t>
      </w:r>
      <w:bookmarkEnd w:id="4"/>
      <w:r w:rsidR="009D1BAC">
        <w:rPr>
          <w:rFonts w:ascii="Times New Roman" w:hAnsi="Times New Roman" w:cs="Times New Roman"/>
        </w:rPr>
        <w:t xml:space="preserve"> </w:t>
      </w:r>
      <w:r w:rsidR="009D1BAC" w:rsidRPr="00784ECC">
        <w:rPr>
          <w:rFonts w:ascii="Times New Roman" w:hAnsi="Times New Roman" w:cs="Times New Roman"/>
          <w:sz w:val="22"/>
          <w:szCs w:val="22"/>
        </w:rPr>
        <w:t>“Study on UE power saving”.</w:t>
      </w:r>
      <w:bookmarkEnd w:id="5"/>
    </w:p>
    <w:p w14:paraId="2DFA9FE5" w14:textId="7E149FAE" w:rsidR="009D1BAC" w:rsidRDefault="009D1BAC" w:rsidP="000E3469">
      <w:pPr>
        <w:pStyle w:val="ListParagraph"/>
        <w:numPr>
          <w:ilvl w:val="0"/>
          <w:numId w:val="9"/>
        </w:numPr>
        <w:ind w:left="426" w:hanging="426"/>
        <w:rPr>
          <w:rFonts w:ascii="Times New Roman" w:hAnsi="Times New Roman" w:cs="Times New Roman"/>
        </w:rPr>
      </w:pPr>
      <w:bookmarkStart w:id="6" w:name="_Ref47720077"/>
      <w:r w:rsidRPr="009D1BAC">
        <w:rPr>
          <w:rFonts w:ascii="Times New Roman" w:hAnsi="Times New Roman" w:cs="Times New Roman"/>
        </w:rPr>
        <w:t>R1-1902186. “Power saving techniques for NR”. Sony. RAN1#96. Athens, Greece. Feb 2019.</w:t>
      </w:r>
      <w:bookmarkEnd w:id="6"/>
    </w:p>
    <w:p w14:paraId="0DC6B0F1" w14:textId="77777777" w:rsidR="002348EF" w:rsidRPr="002348EF" w:rsidRDefault="002348EF" w:rsidP="002348EF">
      <w:pPr>
        <w:spacing w:before="80" w:after="80"/>
        <w:rPr>
          <w:sz w:val="20"/>
        </w:rPr>
      </w:pPr>
      <w:bookmarkStart w:id="7" w:name="_GoBack"/>
      <w:bookmarkEnd w:id="7"/>
    </w:p>
    <w:sectPr w:rsidR="002348EF" w:rsidRPr="002348E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9A317" w14:textId="77777777" w:rsidR="00744AB6" w:rsidRDefault="00744AB6">
      <w:r>
        <w:separator/>
      </w:r>
    </w:p>
  </w:endnote>
  <w:endnote w:type="continuationSeparator" w:id="0">
    <w:p w14:paraId="7FB61CCD" w14:textId="77777777" w:rsidR="00744AB6" w:rsidRDefault="00744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71903" w14:textId="77777777" w:rsidR="00744AB6" w:rsidRDefault="00744AB6">
      <w:r>
        <w:separator/>
      </w:r>
    </w:p>
  </w:footnote>
  <w:footnote w:type="continuationSeparator" w:id="0">
    <w:p w14:paraId="29B171B1" w14:textId="77777777" w:rsidR="00744AB6" w:rsidRDefault="00744A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51FC2"/>
    <w:multiLevelType w:val="hybridMultilevel"/>
    <w:tmpl w:val="0A0CB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BA4F79"/>
    <w:multiLevelType w:val="hybridMultilevel"/>
    <w:tmpl w:val="5A5A8E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0D4E6F"/>
    <w:multiLevelType w:val="multilevel"/>
    <w:tmpl w:val="B5841D52"/>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09403EA"/>
    <w:multiLevelType w:val="hybridMultilevel"/>
    <w:tmpl w:val="8242B844"/>
    <w:lvl w:ilvl="0" w:tplc="76BC7EFA">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C0B56FF"/>
    <w:multiLevelType w:val="hybridMultilevel"/>
    <w:tmpl w:val="416C3CB8"/>
    <w:lvl w:ilvl="0" w:tplc="0B88D34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87DEC0A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D473BD"/>
    <w:multiLevelType w:val="hybridMultilevel"/>
    <w:tmpl w:val="B06E1B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22B3F28"/>
    <w:multiLevelType w:val="hybridMultilevel"/>
    <w:tmpl w:val="3DB01B7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9AB72B6"/>
    <w:multiLevelType w:val="hybridMultilevel"/>
    <w:tmpl w:val="0EA2DA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4316A1"/>
    <w:multiLevelType w:val="hybridMultilevel"/>
    <w:tmpl w:val="C484B534"/>
    <w:lvl w:ilvl="0" w:tplc="16A89822">
      <w:numFmt w:val="bullet"/>
      <w:lvlText w:val="-"/>
      <w:lvlJc w:val="left"/>
      <w:pPr>
        <w:ind w:left="719" w:hanging="360"/>
      </w:pPr>
      <w:rPr>
        <w:rFonts w:ascii="Times" w:eastAsia="Batang" w:hAnsi="Times" w:cs="Times"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5" w15:restartNumberingAfterBreak="0">
    <w:nsid w:val="4DFB6101"/>
    <w:multiLevelType w:val="hybridMultilevel"/>
    <w:tmpl w:val="52E0E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44637FE"/>
    <w:multiLevelType w:val="hybridMultilevel"/>
    <w:tmpl w:val="91C6D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AC5E8E"/>
    <w:multiLevelType w:val="hybridMultilevel"/>
    <w:tmpl w:val="81D0B1DA"/>
    <w:lvl w:ilvl="0" w:tplc="041D0001">
      <w:start w:val="1"/>
      <w:numFmt w:val="bullet"/>
      <w:lvlText w:val=""/>
      <w:lvlJc w:val="left"/>
      <w:pPr>
        <w:ind w:left="724" w:hanging="360"/>
      </w:pPr>
      <w:rPr>
        <w:rFonts w:ascii="Symbol" w:hAnsi="Symbo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21" w15:restartNumberingAfterBreak="0">
    <w:nsid w:val="5E3444BD"/>
    <w:multiLevelType w:val="hybridMultilevel"/>
    <w:tmpl w:val="9D926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414DF5"/>
    <w:multiLevelType w:val="hybridMultilevel"/>
    <w:tmpl w:val="0A221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8A2D68"/>
    <w:multiLevelType w:val="hybridMultilevel"/>
    <w:tmpl w:val="4106E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5"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10D3E9F"/>
    <w:multiLevelType w:val="hybridMultilevel"/>
    <w:tmpl w:val="AE1009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24A5DE3"/>
    <w:multiLevelType w:val="hybridMultilevel"/>
    <w:tmpl w:val="4B103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910C5B"/>
    <w:multiLevelType w:val="hybridMultilevel"/>
    <w:tmpl w:val="27900C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9567B7"/>
    <w:multiLevelType w:val="hybridMultilevel"/>
    <w:tmpl w:val="837CD0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10"/>
  </w:num>
  <w:num w:numId="2">
    <w:abstractNumId w:val="8"/>
  </w:num>
  <w:num w:numId="3">
    <w:abstractNumId w:val="31"/>
  </w:num>
  <w:num w:numId="4">
    <w:abstractNumId w:val="18"/>
  </w:num>
  <w:num w:numId="5">
    <w:abstractNumId w:val="26"/>
  </w:num>
  <w:num w:numId="6">
    <w:abstractNumId w:val="5"/>
  </w:num>
  <w:num w:numId="7">
    <w:abstractNumId w:val="24"/>
  </w:num>
  <w:num w:numId="8">
    <w:abstractNumId w:val="12"/>
  </w:num>
  <w:num w:numId="9">
    <w:abstractNumId w:val="3"/>
  </w:num>
  <w:num w:numId="10">
    <w:abstractNumId w:val="16"/>
  </w:num>
  <w:num w:numId="11">
    <w:abstractNumId w:val="2"/>
  </w:num>
  <w:num w:numId="12">
    <w:abstractNumId w:val="6"/>
  </w:num>
  <w:num w:numId="13">
    <w:abstractNumId w:val="27"/>
  </w:num>
  <w:num w:numId="14">
    <w:abstractNumId w:val="25"/>
  </w:num>
  <w:num w:numId="15">
    <w:abstractNumId w:val="13"/>
  </w:num>
  <w:num w:numId="16">
    <w:abstractNumId w:val="14"/>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num>
  <w:num w:numId="22">
    <w:abstractNumId w:val="23"/>
  </w:num>
  <w:num w:numId="23">
    <w:abstractNumId w:val="29"/>
  </w:num>
  <w:num w:numId="24">
    <w:abstractNumId w:val="1"/>
  </w:num>
  <w:num w:numId="25">
    <w:abstractNumId w:val="1"/>
  </w:num>
  <w:num w:numId="26">
    <w:abstractNumId w:val="21"/>
  </w:num>
  <w:num w:numId="27">
    <w:abstractNumId w:val="22"/>
  </w:num>
  <w:num w:numId="28">
    <w:abstractNumId w:val="28"/>
  </w:num>
  <w:num w:numId="29">
    <w:abstractNumId w:val="30"/>
  </w:num>
  <w:num w:numId="30">
    <w:abstractNumId w:val="20"/>
  </w:num>
  <w:num w:numId="31">
    <w:abstractNumId w:val="0"/>
  </w:num>
  <w:num w:numId="32">
    <w:abstractNumId w:val="4"/>
  </w:num>
  <w:num w:numId="33">
    <w:abstractNumId w:val="17"/>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583"/>
    <w:rsid w:val="00021626"/>
    <w:rsid w:val="000218F5"/>
    <w:rsid w:val="000226B5"/>
    <w:rsid w:val="0002304C"/>
    <w:rsid w:val="00023388"/>
    <w:rsid w:val="00023425"/>
    <w:rsid w:val="00023683"/>
    <w:rsid w:val="00024007"/>
    <w:rsid w:val="000241BE"/>
    <w:rsid w:val="000242F2"/>
    <w:rsid w:val="00025242"/>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C47"/>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F01"/>
    <w:rsid w:val="00063F42"/>
    <w:rsid w:val="00063F5E"/>
    <w:rsid w:val="00065D0E"/>
    <w:rsid w:val="00065D38"/>
    <w:rsid w:val="00066416"/>
    <w:rsid w:val="00066DEB"/>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4F43"/>
    <w:rsid w:val="000959E0"/>
    <w:rsid w:val="00096348"/>
    <w:rsid w:val="00096356"/>
    <w:rsid w:val="000965E5"/>
    <w:rsid w:val="00096753"/>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E4E"/>
    <w:rsid w:val="000D0EED"/>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626"/>
    <w:rsid w:val="000E18DF"/>
    <w:rsid w:val="000E1F6D"/>
    <w:rsid w:val="000E224F"/>
    <w:rsid w:val="000E2288"/>
    <w:rsid w:val="000E24E2"/>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F58"/>
    <w:rsid w:val="00100128"/>
    <w:rsid w:val="0010080C"/>
    <w:rsid w:val="001009D1"/>
    <w:rsid w:val="00100BC7"/>
    <w:rsid w:val="00100E3F"/>
    <w:rsid w:val="00100FF3"/>
    <w:rsid w:val="00101586"/>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D4D"/>
    <w:rsid w:val="001141E3"/>
    <w:rsid w:val="001144DF"/>
    <w:rsid w:val="001149FE"/>
    <w:rsid w:val="0011557B"/>
    <w:rsid w:val="001163DF"/>
    <w:rsid w:val="00116711"/>
    <w:rsid w:val="00116806"/>
    <w:rsid w:val="00116EEF"/>
    <w:rsid w:val="00116FA9"/>
    <w:rsid w:val="00117C85"/>
    <w:rsid w:val="00120B13"/>
    <w:rsid w:val="00121019"/>
    <w:rsid w:val="00121082"/>
    <w:rsid w:val="00121808"/>
    <w:rsid w:val="00122457"/>
    <w:rsid w:val="00123538"/>
    <w:rsid w:val="001235B7"/>
    <w:rsid w:val="00124A01"/>
    <w:rsid w:val="00124D84"/>
    <w:rsid w:val="001250DD"/>
    <w:rsid w:val="00125660"/>
    <w:rsid w:val="00125733"/>
    <w:rsid w:val="00125B70"/>
    <w:rsid w:val="001263AA"/>
    <w:rsid w:val="001272EE"/>
    <w:rsid w:val="00127325"/>
    <w:rsid w:val="001278A5"/>
    <w:rsid w:val="00127CCF"/>
    <w:rsid w:val="00127F8B"/>
    <w:rsid w:val="00127FA5"/>
    <w:rsid w:val="00130281"/>
    <w:rsid w:val="00130779"/>
    <w:rsid w:val="001307A1"/>
    <w:rsid w:val="001308EC"/>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23"/>
    <w:rsid w:val="00136B99"/>
    <w:rsid w:val="00137FE1"/>
    <w:rsid w:val="001400F0"/>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E32"/>
    <w:rsid w:val="0014759C"/>
    <w:rsid w:val="00147CF5"/>
    <w:rsid w:val="00151619"/>
    <w:rsid w:val="001521DF"/>
    <w:rsid w:val="00152835"/>
    <w:rsid w:val="00155927"/>
    <w:rsid w:val="001559FA"/>
    <w:rsid w:val="00155C27"/>
    <w:rsid w:val="00156374"/>
    <w:rsid w:val="001566C8"/>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271E"/>
    <w:rsid w:val="00162734"/>
    <w:rsid w:val="00162D7A"/>
    <w:rsid w:val="00163566"/>
    <w:rsid w:val="001636E0"/>
    <w:rsid w:val="00163C5F"/>
    <w:rsid w:val="00163F45"/>
    <w:rsid w:val="00164DAB"/>
    <w:rsid w:val="00165AC3"/>
    <w:rsid w:val="00165BBB"/>
    <w:rsid w:val="00166073"/>
    <w:rsid w:val="0016613D"/>
    <w:rsid w:val="0016613F"/>
    <w:rsid w:val="00166215"/>
    <w:rsid w:val="00166591"/>
    <w:rsid w:val="001668D3"/>
    <w:rsid w:val="00166971"/>
    <w:rsid w:val="001672D4"/>
    <w:rsid w:val="0016759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A53"/>
    <w:rsid w:val="00186C70"/>
    <w:rsid w:val="00186E32"/>
    <w:rsid w:val="00187252"/>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531"/>
    <w:rsid w:val="001A5E6D"/>
    <w:rsid w:val="001A6552"/>
    <w:rsid w:val="001A673E"/>
    <w:rsid w:val="001A67B2"/>
    <w:rsid w:val="001A6D82"/>
    <w:rsid w:val="001A7724"/>
    <w:rsid w:val="001A7763"/>
    <w:rsid w:val="001A7D26"/>
    <w:rsid w:val="001B0F40"/>
    <w:rsid w:val="001B1405"/>
    <w:rsid w:val="001B1537"/>
    <w:rsid w:val="001B2C86"/>
    <w:rsid w:val="001B3964"/>
    <w:rsid w:val="001B396A"/>
    <w:rsid w:val="001B3D59"/>
    <w:rsid w:val="001B421B"/>
    <w:rsid w:val="001B4452"/>
    <w:rsid w:val="001B466C"/>
    <w:rsid w:val="001B4860"/>
    <w:rsid w:val="001B4B7D"/>
    <w:rsid w:val="001B4F34"/>
    <w:rsid w:val="001B52EC"/>
    <w:rsid w:val="001B554A"/>
    <w:rsid w:val="001B55D1"/>
    <w:rsid w:val="001B5B29"/>
    <w:rsid w:val="001B5D16"/>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1187"/>
    <w:rsid w:val="001D2360"/>
    <w:rsid w:val="001D275B"/>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7A6"/>
    <w:rsid w:val="001D5AD1"/>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926"/>
    <w:rsid w:val="00200A3A"/>
    <w:rsid w:val="00200D2C"/>
    <w:rsid w:val="002014C7"/>
    <w:rsid w:val="002019D8"/>
    <w:rsid w:val="00201EC7"/>
    <w:rsid w:val="00201F53"/>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2A34"/>
    <w:rsid w:val="00222E93"/>
    <w:rsid w:val="00223012"/>
    <w:rsid w:val="00223F29"/>
    <w:rsid w:val="002241D5"/>
    <w:rsid w:val="00224952"/>
    <w:rsid w:val="00224DD2"/>
    <w:rsid w:val="00225145"/>
    <w:rsid w:val="00225A6A"/>
    <w:rsid w:val="00225AC7"/>
    <w:rsid w:val="00225ACC"/>
    <w:rsid w:val="00225ADB"/>
    <w:rsid w:val="00225E5E"/>
    <w:rsid w:val="00226CEE"/>
    <w:rsid w:val="00226E0C"/>
    <w:rsid w:val="00227393"/>
    <w:rsid w:val="002274D2"/>
    <w:rsid w:val="00227B82"/>
    <w:rsid w:val="00230C01"/>
    <w:rsid w:val="0023107E"/>
    <w:rsid w:val="00231403"/>
    <w:rsid w:val="002317B4"/>
    <w:rsid w:val="00231A3D"/>
    <w:rsid w:val="00231C25"/>
    <w:rsid w:val="00231C6F"/>
    <w:rsid w:val="00231F2D"/>
    <w:rsid w:val="002324AA"/>
    <w:rsid w:val="00232A90"/>
    <w:rsid w:val="00232AE7"/>
    <w:rsid w:val="00232B95"/>
    <w:rsid w:val="00233523"/>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401F5"/>
    <w:rsid w:val="00240623"/>
    <w:rsid w:val="00240E54"/>
    <w:rsid w:val="0024293A"/>
    <w:rsid w:val="00242B4D"/>
    <w:rsid w:val="002439E1"/>
    <w:rsid w:val="00243FCB"/>
    <w:rsid w:val="00244848"/>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6B"/>
    <w:rsid w:val="00250E2E"/>
    <w:rsid w:val="00250E6E"/>
    <w:rsid w:val="002511B6"/>
    <w:rsid w:val="002516DE"/>
    <w:rsid w:val="00251A69"/>
    <w:rsid w:val="00251BE6"/>
    <w:rsid w:val="00251F81"/>
    <w:rsid w:val="00252BE0"/>
    <w:rsid w:val="00253056"/>
    <w:rsid w:val="0025330C"/>
    <w:rsid w:val="00253588"/>
    <w:rsid w:val="00253823"/>
    <w:rsid w:val="00253881"/>
    <w:rsid w:val="00253C38"/>
    <w:rsid w:val="00254659"/>
    <w:rsid w:val="002546F4"/>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6F83"/>
    <w:rsid w:val="00277835"/>
    <w:rsid w:val="00277A3A"/>
    <w:rsid w:val="00277D35"/>
    <w:rsid w:val="0028001B"/>
    <w:rsid w:val="00280AB1"/>
    <w:rsid w:val="00281D0E"/>
    <w:rsid w:val="00282038"/>
    <w:rsid w:val="00282AD4"/>
    <w:rsid w:val="00283857"/>
    <w:rsid w:val="00283D1C"/>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D90"/>
    <w:rsid w:val="00294EA2"/>
    <w:rsid w:val="002963DE"/>
    <w:rsid w:val="0029722B"/>
    <w:rsid w:val="00297611"/>
    <w:rsid w:val="002A00CD"/>
    <w:rsid w:val="002A09C5"/>
    <w:rsid w:val="002A0EC3"/>
    <w:rsid w:val="002A0EE0"/>
    <w:rsid w:val="002A1BE0"/>
    <w:rsid w:val="002A1E92"/>
    <w:rsid w:val="002A204D"/>
    <w:rsid w:val="002A2387"/>
    <w:rsid w:val="002A2556"/>
    <w:rsid w:val="002A2616"/>
    <w:rsid w:val="002A26E1"/>
    <w:rsid w:val="002A324B"/>
    <w:rsid w:val="002A33BD"/>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178"/>
    <w:rsid w:val="002B0654"/>
    <w:rsid w:val="002B0A7D"/>
    <w:rsid w:val="002B0EE3"/>
    <w:rsid w:val="002B1364"/>
    <w:rsid w:val="002B1446"/>
    <w:rsid w:val="002B1A69"/>
    <w:rsid w:val="002B1B71"/>
    <w:rsid w:val="002B1D47"/>
    <w:rsid w:val="002B20B3"/>
    <w:rsid w:val="002B2723"/>
    <w:rsid w:val="002B280E"/>
    <w:rsid w:val="002B283A"/>
    <w:rsid w:val="002B297D"/>
    <w:rsid w:val="002B2E6C"/>
    <w:rsid w:val="002B303A"/>
    <w:rsid w:val="002B3713"/>
    <w:rsid w:val="002B4165"/>
    <w:rsid w:val="002B457C"/>
    <w:rsid w:val="002B4AD2"/>
    <w:rsid w:val="002B538E"/>
    <w:rsid w:val="002B548D"/>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A32"/>
    <w:rsid w:val="002C2E80"/>
    <w:rsid w:val="002C2F6B"/>
    <w:rsid w:val="002C384C"/>
    <w:rsid w:val="002C38B2"/>
    <w:rsid w:val="002C39D0"/>
    <w:rsid w:val="002C3F9C"/>
    <w:rsid w:val="002C493E"/>
    <w:rsid w:val="002C547B"/>
    <w:rsid w:val="002C5AFA"/>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3648"/>
    <w:rsid w:val="002D3BBC"/>
    <w:rsid w:val="002D3D3E"/>
    <w:rsid w:val="002D3D5F"/>
    <w:rsid w:val="002D4320"/>
    <w:rsid w:val="002D438A"/>
    <w:rsid w:val="002D43FE"/>
    <w:rsid w:val="002D4587"/>
    <w:rsid w:val="002D4611"/>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AAB"/>
    <w:rsid w:val="00312D10"/>
    <w:rsid w:val="003139C1"/>
    <w:rsid w:val="00315590"/>
    <w:rsid w:val="003155D3"/>
    <w:rsid w:val="00315A45"/>
    <w:rsid w:val="003160A8"/>
    <w:rsid w:val="00316153"/>
    <w:rsid w:val="00316710"/>
    <w:rsid w:val="00316C8E"/>
    <w:rsid w:val="00316F6C"/>
    <w:rsid w:val="003178DA"/>
    <w:rsid w:val="00317DB8"/>
    <w:rsid w:val="0032009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21D"/>
    <w:rsid w:val="003247EF"/>
    <w:rsid w:val="00325122"/>
    <w:rsid w:val="003252C8"/>
    <w:rsid w:val="00326957"/>
    <w:rsid w:val="00326AE2"/>
    <w:rsid w:val="003270EB"/>
    <w:rsid w:val="00327E70"/>
    <w:rsid w:val="003301D4"/>
    <w:rsid w:val="003304D1"/>
    <w:rsid w:val="003316F6"/>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2F5"/>
    <w:rsid w:val="00343731"/>
    <w:rsid w:val="0034429B"/>
    <w:rsid w:val="00344866"/>
    <w:rsid w:val="00344C02"/>
    <w:rsid w:val="00344CE7"/>
    <w:rsid w:val="00344D6D"/>
    <w:rsid w:val="00344FE4"/>
    <w:rsid w:val="003450D7"/>
    <w:rsid w:val="00345197"/>
    <w:rsid w:val="00345266"/>
    <w:rsid w:val="0034594B"/>
    <w:rsid w:val="00346169"/>
    <w:rsid w:val="0034638C"/>
    <w:rsid w:val="00346F7F"/>
    <w:rsid w:val="00347A77"/>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41A2"/>
    <w:rsid w:val="00364207"/>
    <w:rsid w:val="00364220"/>
    <w:rsid w:val="0036487C"/>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215"/>
    <w:rsid w:val="00371B60"/>
    <w:rsid w:val="00371FEF"/>
    <w:rsid w:val="00372123"/>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72F"/>
    <w:rsid w:val="00390F5F"/>
    <w:rsid w:val="00390F60"/>
    <w:rsid w:val="00391B88"/>
    <w:rsid w:val="0039281F"/>
    <w:rsid w:val="00392D4C"/>
    <w:rsid w:val="003940CE"/>
    <w:rsid w:val="003942FE"/>
    <w:rsid w:val="00394A79"/>
    <w:rsid w:val="00394DE3"/>
    <w:rsid w:val="00396949"/>
    <w:rsid w:val="003970C3"/>
    <w:rsid w:val="003971B8"/>
    <w:rsid w:val="00397A6B"/>
    <w:rsid w:val="00397C1D"/>
    <w:rsid w:val="003A06AE"/>
    <w:rsid w:val="003A0B93"/>
    <w:rsid w:val="003A129C"/>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2B7"/>
    <w:rsid w:val="003B5469"/>
    <w:rsid w:val="003B5D97"/>
    <w:rsid w:val="003B63A4"/>
    <w:rsid w:val="003B68FE"/>
    <w:rsid w:val="003B6A67"/>
    <w:rsid w:val="003B6D7D"/>
    <w:rsid w:val="003B70C3"/>
    <w:rsid w:val="003B7236"/>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18B"/>
    <w:rsid w:val="003C5E6B"/>
    <w:rsid w:val="003C6122"/>
    <w:rsid w:val="003C62CB"/>
    <w:rsid w:val="003C6944"/>
    <w:rsid w:val="003C6B05"/>
    <w:rsid w:val="003C6F89"/>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3F0C"/>
    <w:rsid w:val="003E4858"/>
    <w:rsid w:val="003E4956"/>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324F"/>
    <w:rsid w:val="003F33BC"/>
    <w:rsid w:val="003F36BD"/>
    <w:rsid w:val="003F3C9F"/>
    <w:rsid w:val="003F3D4E"/>
    <w:rsid w:val="003F425A"/>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A85"/>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152"/>
    <w:rsid w:val="004235B6"/>
    <w:rsid w:val="00423641"/>
    <w:rsid w:val="004247E8"/>
    <w:rsid w:val="00424896"/>
    <w:rsid w:val="00424932"/>
    <w:rsid w:val="00424D48"/>
    <w:rsid w:val="00425C0B"/>
    <w:rsid w:val="00425C6D"/>
    <w:rsid w:val="00426266"/>
    <w:rsid w:val="00426880"/>
    <w:rsid w:val="00426CF7"/>
    <w:rsid w:val="00427690"/>
    <w:rsid w:val="00427A7B"/>
    <w:rsid w:val="00427D2C"/>
    <w:rsid w:val="00430A2D"/>
    <w:rsid w:val="0043112A"/>
    <w:rsid w:val="00431505"/>
    <w:rsid w:val="00431AF0"/>
    <w:rsid w:val="00431DA9"/>
    <w:rsid w:val="0043213A"/>
    <w:rsid w:val="00432C0F"/>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4E4"/>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49A"/>
    <w:rsid w:val="00462035"/>
    <w:rsid w:val="00462062"/>
    <w:rsid w:val="0046273A"/>
    <w:rsid w:val="00462827"/>
    <w:rsid w:val="00462A1F"/>
    <w:rsid w:val="00462A4E"/>
    <w:rsid w:val="00463680"/>
    <w:rsid w:val="00463A6F"/>
    <w:rsid w:val="00463BAE"/>
    <w:rsid w:val="00464051"/>
    <w:rsid w:val="004646B4"/>
    <w:rsid w:val="00464A88"/>
    <w:rsid w:val="00464AE7"/>
    <w:rsid w:val="00464ECE"/>
    <w:rsid w:val="004651A0"/>
    <w:rsid w:val="00465347"/>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0DA"/>
    <w:rsid w:val="00486575"/>
    <w:rsid w:val="0048658A"/>
    <w:rsid w:val="004866D0"/>
    <w:rsid w:val="004866D5"/>
    <w:rsid w:val="004866D7"/>
    <w:rsid w:val="00486D5D"/>
    <w:rsid w:val="00486D87"/>
    <w:rsid w:val="00487ACD"/>
    <w:rsid w:val="004902CB"/>
    <w:rsid w:val="004903DD"/>
    <w:rsid w:val="00491CD4"/>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F05"/>
    <w:rsid w:val="00497370"/>
    <w:rsid w:val="00497C5D"/>
    <w:rsid w:val="004A01F1"/>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1A7"/>
    <w:rsid w:val="004D4DAC"/>
    <w:rsid w:val="004D59A7"/>
    <w:rsid w:val="004D6A2A"/>
    <w:rsid w:val="004D6F4D"/>
    <w:rsid w:val="004D6F95"/>
    <w:rsid w:val="004D703E"/>
    <w:rsid w:val="004D7093"/>
    <w:rsid w:val="004D72FE"/>
    <w:rsid w:val="004D7E91"/>
    <w:rsid w:val="004E003A"/>
    <w:rsid w:val="004E05BA"/>
    <w:rsid w:val="004E0768"/>
    <w:rsid w:val="004E08C9"/>
    <w:rsid w:val="004E0F44"/>
    <w:rsid w:val="004E1545"/>
    <w:rsid w:val="004E18EA"/>
    <w:rsid w:val="004E195F"/>
    <w:rsid w:val="004E1A31"/>
    <w:rsid w:val="004E1EC9"/>
    <w:rsid w:val="004E2804"/>
    <w:rsid w:val="004E2DE0"/>
    <w:rsid w:val="004E35BC"/>
    <w:rsid w:val="004E3676"/>
    <w:rsid w:val="004E3938"/>
    <w:rsid w:val="004E4060"/>
    <w:rsid w:val="004E409A"/>
    <w:rsid w:val="004E456F"/>
    <w:rsid w:val="004E4577"/>
    <w:rsid w:val="004E4EF5"/>
    <w:rsid w:val="004E58E9"/>
    <w:rsid w:val="004E5EFC"/>
    <w:rsid w:val="004E726B"/>
    <w:rsid w:val="004E77A3"/>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6EC"/>
    <w:rsid w:val="004F6FC8"/>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545"/>
    <w:rsid w:val="005249E2"/>
    <w:rsid w:val="00524EBF"/>
    <w:rsid w:val="00524F25"/>
    <w:rsid w:val="00525192"/>
    <w:rsid w:val="005255BF"/>
    <w:rsid w:val="005257B5"/>
    <w:rsid w:val="005257DE"/>
    <w:rsid w:val="00525861"/>
    <w:rsid w:val="00525F0A"/>
    <w:rsid w:val="005262B7"/>
    <w:rsid w:val="005269A8"/>
    <w:rsid w:val="00526C02"/>
    <w:rsid w:val="00527098"/>
    <w:rsid w:val="00527200"/>
    <w:rsid w:val="00530157"/>
    <w:rsid w:val="005302AA"/>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6B77"/>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751C"/>
    <w:rsid w:val="00567DE7"/>
    <w:rsid w:val="00567E70"/>
    <w:rsid w:val="005700FE"/>
    <w:rsid w:val="00570218"/>
    <w:rsid w:val="00570E24"/>
    <w:rsid w:val="00571512"/>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5D"/>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9B6"/>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53F9"/>
    <w:rsid w:val="005E6A78"/>
    <w:rsid w:val="005E6E6C"/>
    <w:rsid w:val="005E775D"/>
    <w:rsid w:val="005E7EED"/>
    <w:rsid w:val="005F04F1"/>
    <w:rsid w:val="005F0A43"/>
    <w:rsid w:val="005F17BD"/>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9C9"/>
    <w:rsid w:val="00604668"/>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4BC"/>
    <w:rsid w:val="006307EA"/>
    <w:rsid w:val="00630DCE"/>
    <w:rsid w:val="0063120A"/>
    <w:rsid w:val="0063150B"/>
    <w:rsid w:val="00631585"/>
    <w:rsid w:val="006315E2"/>
    <w:rsid w:val="00631708"/>
    <w:rsid w:val="006318C9"/>
    <w:rsid w:val="0063275E"/>
    <w:rsid w:val="006327F1"/>
    <w:rsid w:val="00632C8E"/>
    <w:rsid w:val="00632CC2"/>
    <w:rsid w:val="00633149"/>
    <w:rsid w:val="0063391D"/>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CA7"/>
    <w:rsid w:val="006435FF"/>
    <w:rsid w:val="00643639"/>
    <w:rsid w:val="00643660"/>
    <w:rsid w:val="00645739"/>
    <w:rsid w:val="00646BE5"/>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8AD"/>
    <w:rsid w:val="00663BC1"/>
    <w:rsid w:val="00663DE4"/>
    <w:rsid w:val="00663ECA"/>
    <w:rsid w:val="0066609E"/>
    <w:rsid w:val="00666388"/>
    <w:rsid w:val="006665B4"/>
    <w:rsid w:val="00667020"/>
    <w:rsid w:val="0066732C"/>
    <w:rsid w:val="006679F5"/>
    <w:rsid w:val="00667B77"/>
    <w:rsid w:val="00671026"/>
    <w:rsid w:val="006713DE"/>
    <w:rsid w:val="0067143D"/>
    <w:rsid w:val="006716DA"/>
    <w:rsid w:val="00671965"/>
    <w:rsid w:val="00671A78"/>
    <w:rsid w:val="00671E11"/>
    <w:rsid w:val="006728ED"/>
    <w:rsid w:val="00672D90"/>
    <w:rsid w:val="00672FAA"/>
    <w:rsid w:val="006732B1"/>
    <w:rsid w:val="006734CA"/>
    <w:rsid w:val="0067446F"/>
    <w:rsid w:val="006744E4"/>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70D"/>
    <w:rsid w:val="006A3895"/>
    <w:rsid w:val="006A3E2B"/>
    <w:rsid w:val="006A3F39"/>
    <w:rsid w:val="006A425D"/>
    <w:rsid w:val="006A4613"/>
    <w:rsid w:val="006A4833"/>
    <w:rsid w:val="006A4C68"/>
    <w:rsid w:val="006A51AD"/>
    <w:rsid w:val="006A5BD3"/>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2529"/>
    <w:rsid w:val="006E2B39"/>
    <w:rsid w:val="006E2E36"/>
    <w:rsid w:val="006E35C7"/>
    <w:rsid w:val="006E376A"/>
    <w:rsid w:val="006E4462"/>
    <w:rsid w:val="006E45F3"/>
    <w:rsid w:val="006E4A2F"/>
    <w:rsid w:val="006E4ED4"/>
    <w:rsid w:val="006E5432"/>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EA"/>
    <w:rsid w:val="006F2DFB"/>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464"/>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6036"/>
    <w:rsid w:val="00726279"/>
    <w:rsid w:val="0072642C"/>
    <w:rsid w:val="00726578"/>
    <w:rsid w:val="00726A9B"/>
    <w:rsid w:val="00726CB9"/>
    <w:rsid w:val="00727530"/>
    <w:rsid w:val="00727E27"/>
    <w:rsid w:val="00730D37"/>
    <w:rsid w:val="00731005"/>
    <w:rsid w:val="00731367"/>
    <w:rsid w:val="0073178C"/>
    <w:rsid w:val="00731E7C"/>
    <w:rsid w:val="007329EF"/>
    <w:rsid w:val="00732A96"/>
    <w:rsid w:val="00732C4A"/>
    <w:rsid w:val="00732DDB"/>
    <w:rsid w:val="00732E5F"/>
    <w:rsid w:val="0073327A"/>
    <w:rsid w:val="00733519"/>
    <w:rsid w:val="00733542"/>
    <w:rsid w:val="00733A15"/>
    <w:rsid w:val="00733A34"/>
    <w:rsid w:val="00733EBF"/>
    <w:rsid w:val="00733F9E"/>
    <w:rsid w:val="00734339"/>
    <w:rsid w:val="00734761"/>
    <w:rsid w:val="00734EBE"/>
    <w:rsid w:val="00735522"/>
    <w:rsid w:val="00735A0F"/>
    <w:rsid w:val="00736247"/>
    <w:rsid w:val="007365D2"/>
    <w:rsid w:val="007367F2"/>
    <w:rsid w:val="00736DD8"/>
    <w:rsid w:val="00737447"/>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A64"/>
    <w:rsid w:val="00744AB6"/>
    <w:rsid w:val="00744D47"/>
    <w:rsid w:val="00744EA0"/>
    <w:rsid w:val="0074515C"/>
    <w:rsid w:val="00745D2E"/>
    <w:rsid w:val="00745F95"/>
    <w:rsid w:val="0074638D"/>
    <w:rsid w:val="00746484"/>
    <w:rsid w:val="00746D3D"/>
    <w:rsid w:val="0074704F"/>
    <w:rsid w:val="00747D57"/>
    <w:rsid w:val="00747F48"/>
    <w:rsid w:val="00747F4C"/>
    <w:rsid w:val="00750BDA"/>
    <w:rsid w:val="00751091"/>
    <w:rsid w:val="00751B83"/>
    <w:rsid w:val="00751FBD"/>
    <w:rsid w:val="007520C2"/>
    <w:rsid w:val="007522BB"/>
    <w:rsid w:val="007529CF"/>
    <w:rsid w:val="00752A63"/>
    <w:rsid w:val="0075317B"/>
    <w:rsid w:val="00753871"/>
    <w:rsid w:val="007538DD"/>
    <w:rsid w:val="00753EB5"/>
    <w:rsid w:val="00754359"/>
    <w:rsid w:val="00754411"/>
    <w:rsid w:val="00754ABB"/>
    <w:rsid w:val="00754BD9"/>
    <w:rsid w:val="00754E7A"/>
    <w:rsid w:val="0075540C"/>
    <w:rsid w:val="007556DC"/>
    <w:rsid w:val="00755944"/>
    <w:rsid w:val="00755DB1"/>
    <w:rsid w:val="00756A63"/>
    <w:rsid w:val="007574FC"/>
    <w:rsid w:val="0075775D"/>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0A01"/>
    <w:rsid w:val="007811DC"/>
    <w:rsid w:val="007812EF"/>
    <w:rsid w:val="007817F7"/>
    <w:rsid w:val="00781B55"/>
    <w:rsid w:val="00781D90"/>
    <w:rsid w:val="00781FD3"/>
    <w:rsid w:val="007820FA"/>
    <w:rsid w:val="00782133"/>
    <w:rsid w:val="0078285F"/>
    <w:rsid w:val="00782AA5"/>
    <w:rsid w:val="00783207"/>
    <w:rsid w:val="00783A92"/>
    <w:rsid w:val="00783E1D"/>
    <w:rsid w:val="007843CE"/>
    <w:rsid w:val="0078483B"/>
    <w:rsid w:val="00784A7C"/>
    <w:rsid w:val="00784EED"/>
    <w:rsid w:val="00785900"/>
    <w:rsid w:val="007861DF"/>
    <w:rsid w:val="00786958"/>
    <w:rsid w:val="00786C49"/>
    <w:rsid w:val="00786E71"/>
    <w:rsid w:val="00790726"/>
    <w:rsid w:val="007909F4"/>
    <w:rsid w:val="0079125D"/>
    <w:rsid w:val="0079162F"/>
    <w:rsid w:val="007916DE"/>
    <w:rsid w:val="00791C4C"/>
    <w:rsid w:val="00791F39"/>
    <w:rsid w:val="0079262F"/>
    <w:rsid w:val="00793091"/>
    <w:rsid w:val="00793539"/>
    <w:rsid w:val="00793985"/>
    <w:rsid w:val="00793AC7"/>
    <w:rsid w:val="007943DA"/>
    <w:rsid w:val="0079468D"/>
    <w:rsid w:val="00794924"/>
    <w:rsid w:val="00794B41"/>
    <w:rsid w:val="00794C8A"/>
    <w:rsid w:val="0079532D"/>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5F9A"/>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1187"/>
    <w:rsid w:val="007B142F"/>
    <w:rsid w:val="007B1543"/>
    <w:rsid w:val="007B1AC0"/>
    <w:rsid w:val="007B1D85"/>
    <w:rsid w:val="007B245D"/>
    <w:rsid w:val="007B24C8"/>
    <w:rsid w:val="007B2617"/>
    <w:rsid w:val="007B270A"/>
    <w:rsid w:val="007B2D3B"/>
    <w:rsid w:val="007B355B"/>
    <w:rsid w:val="007B3C31"/>
    <w:rsid w:val="007B48EA"/>
    <w:rsid w:val="007B49E3"/>
    <w:rsid w:val="007B52CD"/>
    <w:rsid w:val="007B58EB"/>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C00"/>
    <w:rsid w:val="007D4C6B"/>
    <w:rsid w:val="007D4D33"/>
    <w:rsid w:val="007D5FC3"/>
    <w:rsid w:val="007D670C"/>
    <w:rsid w:val="007D67F3"/>
    <w:rsid w:val="007D7175"/>
    <w:rsid w:val="007D7265"/>
    <w:rsid w:val="007D7934"/>
    <w:rsid w:val="007D7CF7"/>
    <w:rsid w:val="007E0B48"/>
    <w:rsid w:val="007E1369"/>
    <w:rsid w:val="007E1A1B"/>
    <w:rsid w:val="007E1A88"/>
    <w:rsid w:val="007E1ACC"/>
    <w:rsid w:val="007E2935"/>
    <w:rsid w:val="007E2B3C"/>
    <w:rsid w:val="007E3322"/>
    <w:rsid w:val="007E35CD"/>
    <w:rsid w:val="007E42A2"/>
    <w:rsid w:val="007E44DF"/>
    <w:rsid w:val="007E469A"/>
    <w:rsid w:val="007E4C88"/>
    <w:rsid w:val="007E5123"/>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1C"/>
    <w:rsid w:val="007F5DA2"/>
    <w:rsid w:val="007F5FA5"/>
    <w:rsid w:val="007F6880"/>
    <w:rsid w:val="007F69F1"/>
    <w:rsid w:val="007F70DF"/>
    <w:rsid w:val="007F7237"/>
    <w:rsid w:val="007F76B4"/>
    <w:rsid w:val="007F76E4"/>
    <w:rsid w:val="007F77D0"/>
    <w:rsid w:val="00800032"/>
    <w:rsid w:val="008001B4"/>
    <w:rsid w:val="00800769"/>
    <w:rsid w:val="00800BAC"/>
    <w:rsid w:val="00800D7A"/>
    <w:rsid w:val="00800DA1"/>
    <w:rsid w:val="00800ED2"/>
    <w:rsid w:val="00801CAD"/>
    <w:rsid w:val="0080237E"/>
    <w:rsid w:val="00802536"/>
    <w:rsid w:val="00802E74"/>
    <w:rsid w:val="0080301B"/>
    <w:rsid w:val="008031C2"/>
    <w:rsid w:val="0080355C"/>
    <w:rsid w:val="00803B89"/>
    <w:rsid w:val="00804B92"/>
    <w:rsid w:val="00804D4C"/>
    <w:rsid w:val="00804E21"/>
    <w:rsid w:val="00805092"/>
    <w:rsid w:val="008055CE"/>
    <w:rsid w:val="008067CC"/>
    <w:rsid w:val="00806AAF"/>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81D"/>
    <w:rsid w:val="00814A89"/>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12D"/>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44D7"/>
    <w:rsid w:val="00854572"/>
    <w:rsid w:val="00854BD5"/>
    <w:rsid w:val="008551B8"/>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A89"/>
    <w:rsid w:val="00880BCB"/>
    <w:rsid w:val="00880F30"/>
    <w:rsid w:val="00881935"/>
    <w:rsid w:val="00882788"/>
    <w:rsid w:val="0088309E"/>
    <w:rsid w:val="008833E8"/>
    <w:rsid w:val="00884583"/>
    <w:rsid w:val="008846C5"/>
    <w:rsid w:val="008846F1"/>
    <w:rsid w:val="00884B65"/>
    <w:rsid w:val="00884F37"/>
    <w:rsid w:val="00885CA4"/>
    <w:rsid w:val="00885DE9"/>
    <w:rsid w:val="0088718A"/>
    <w:rsid w:val="00887B48"/>
    <w:rsid w:val="00887FAD"/>
    <w:rsid w:val="008900E9"/>
    <w:rsid w:val="0089033E"/>
    <w:rsid w:val="00890451"/>
    <w:rsid w:val="00890680"/>
    <w:rsid w:val="0089176E"/>
    <w:rsid w:val="008917E0"/>
    <w:rsid w:val="00891C90"/>
    <w:rsid w:val="00892365"/>
    <w:rsid w:val="00892785"/>
    <w:rsid w:val="00892BE5"/>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3B2"/>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D"/>
    <w:rsid w:val="008C24CA"/>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72CC"/>
    <w:rsid w:val="008F72CD"/>
    <w:rsid w:val="008F79EC"/>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4B6"/>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0C4"/>
    <w:rsid w:val="00930442"/>
    <w:rsid w:val="009306ED"/>
    <w:rsid w:val="0093094D"/>
    <w:rsid w:val="00931395"/>
    <w:rsid w:val="009317C6"/>
    <w:rsid w:val="00931891"/>
    <w:rsid w:val="00931DC9"/>
    <w:rsid w:val="0093220C"/>
    <w:rsid w:val="009323C5"/>
    <w:rsid w:val="00932832"/>
    <w:rsid w:val="009328C7"/>
    <w:rsid w:val="00932DCA"/>
    <w:rsid w:val="009336EC"/>
    <w:rsid w:val="00933C77"/>
    <w:rsid w:val="00933F56"/>
    <w:rsid w:val="0093401A"/>
    <w:rsid w:val="00934C13"/>
    <w:rsid w:val="00934F66"/>
    <w:rsid w:val="00935228"/>
    <w:rsid w:val="009355A2"/>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1A5"/>
    <w:rsid w:val="0095364F"/>
    <w:rsid w:val="0095380C"/>
    <w:rsid w:val="00953B84"/>
    <w:rsid w:val="00953CB2"/>
    <w:rsid w:val="00953D92"/>
    <w:rsid w:val="009540FE"/>
    <w:rsid w:val="00954293"/>
    <w:rsid w:val="00954353"/>
    <w:rsid w:val="0095448E"/>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13ED"/>
    <w:rsid w:val="0098181C"/>
    <w:rsid w:val="0098194F"/>
    <w:rsid w:val="009822BB"/>
    <w:rsid w:val="009826C8"/>
    <w:rsid w:val="009836E4"/>
    <w:rsid w:val="0098412F"/>
    <w:rsid w:val="009843D2"/>
    <w:rsid w:val="00984549"/>
    <w:rsid w:val="009847DD"/>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2510"/>
    <w:rsid w:val="009A286E"/>
    <w:rsid w:val="009A2A28"/>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BAC"/>
    <w:rsid w:val="009D1D5A"/>
    <w:rsid w:val="009D1F3D"/>
    <w:rsid w:val="009D1F9A"/>
    <w:rsid w:val="009D22E4"/>
    <w:rsid w:val="009D22F7"/>
    <w:rsid w:val="009D2EA0"/>
    <w:rsid w:val="009D319C"/>
    <w:rsid w:val="009D4A3D"/>
    <w:rsid w:val="009D4C02"/>
    <w:rsid w:val="009D4EA2"/>
    <w:rsid w:val="009D55B6"/>
    <w:rsid w:val="009D5BAB"/>
    <w:rsid w:val="009D6A0A"/>
    <w:rsid w:val="009D7432"/>
    <w:rsid w:val="009D7D35"/>
    <w:rsid w:val="009E058F"/>
    <w:rsid w:val="009E0A9E"/>
    <w:rsid w:val="009E0B93"/>
    <w:rsid w:val="009E0E1F"/>
    <w:rsid w:val="009E1920"/>
    <w:rsid w:val="009E19A2"/>
    <w:rsid w:val="009E1A67"/>
    <w:rsid w:val="009E1B47"/>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48F6"/>
    <w:rsid w:val="00A25007"/>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FF7"/>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2581"/>
    <w:rsid w:val="00A732D7"/>
    <w:rsid w:val="00A7333A"/>
    <w:rsid w:val="00A7364D"/>
    <w:rsid w:val="00A73D0D"/>
    <w:rsid w:val="00A74242"/>
    <w:rsid w:val="00A74559"/>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60F"/>
    <w:rsid w:val="00A866FC"/>
    <w:rsid w:val="00A86D63"/>
    <w:rsid w:val="00A87294"/>
    <w:rsid w:val="00A8762A"/>
    <w:rsid w:val="00A87797"/>
    <w:rsid w:val="00A90A50"/>
    <w:rsid w:val="00A90E4F"/>
    <w:rsid w:val="00A90E72"/>
    <w:rsid w:val="00A922A2"/>
    <w:rsid w:val="00A9291A"/>
    <w:rsid w:val="00A9327B"/>
    <w:rsid w:val="00A9328F"/>
    <w:rsid w:val="00A93610"/>
    <w:rsid w:val="00A93B69"/>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EBD"/>
    <w:rsid w:val="00AC20D4"/>
    <w:rsid w:val="00AC254D"/>
    <w:rsid w:val="00AC2896"/>
    <w:rsid w:val="00AC28D4"/>
    <w:rsid w:val="00AC2B97"/>
    <w:rsid w:val="00AC2D2D"/>
    <w:rsid w:val="00AC3D1E"/>
    <w:rsid w:val="00AC3F7A"/>
    <w:rsid w:val="00AC50BD"/>
    <w:rsid w:val="00AC5423"/>
    <w:rsid w:val="00AC59A5"/>
    <w:rsid w:val="00AC5EBC"/>
    <w:rsid w:val="00AC6876"/>
    <w:rsid w:val="00AC6DBF"/>
    <w:rsid w:val="00AC6EFC"/>
    <w:rsid w:val="00AC74DA"/>
    <w:rsid w:val="00AC789C"/>
    <w:rsid w:val="00AC7A2B"/>
    <w:rsid w:val="00AC7C25"/>
    <w:rsid w:val="00AD0688"/>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5CE2"/>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B000C4"/>
    <w:rsid w:val="00B00543"/>
    <w:rsid w:val="00B00752"/>
    <w:rsid w:val="00B010EF"/>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112"/>
    <w:rsid w:val="00B14C3D"/>
    <w:rsid w:val="00B14D3B"/>
    <w:rsid w:val="00B14FD0"/>
    <w:rsid w:val="00B15676"/>
    <w:rsid w:val="00B156A9"/>
    <w:rsid w:val="00B15F83"/>
    <w:rsid w:val="00B160FF"/>
    <w:rsid w:val="00B16322"/>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AF4"/>
    <w:rsid w:val="00B23C15"/>
    <w:rsid w:val="00B24928"/>
    <w:rsid w:val="00B253D9"/>
    <w:rsid w:val="00B25762"/>
    <w:rsid w:val="00B25A92"/>
    <w:rsid w:val="00B25B40"/>
    <w:rsid w:val="00B25D76"/>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21EA"/>
    <w:rsid w:val="00B42285"/>
    <w:rsid w:val="00B422D1"/>
    <w:rsid w:val="00B4274B"/>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9CD"/>
    <w:rsid w:val="00B46EA7"/>
    <w:rsid w:val="00B4721E"/>
    <w:rsid w:val="00B4759B"/>
    <w:rsid w:val="00B476D4"/>
    <w:rsid w:val="00B50B02"/>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E0B"/>
    <w:rsid w:val="00B63762"/>
    <w:rsid w:val="00B63C32"/>
    <w:rsid w:val="00B63C37"/>
    <w:rsid w:val="00B64434"/>
    <w:rsid w:val="00B64584"/>
    <w:rsid w:val="00B64721"/>
    <w:rsid w:val="00B64B7F"/>
    <w:rsid w:val="00B6515D"/>
    <w:rsid w:val="00B65630"/>
    <w:rsid w:val="00B6599B"/>
    <w:rsid w:val="00B65EB5"/>
    <w:rsid w:val="00B66472"/>
    <w:rsid w:val="00B67955"/>
    <w:rsid w:val="00B7037E"/>
    <w:rsid w:val="00B703FC"/>
    <w:rsid w:val="00B70F27"/>
    <w:rsid w:val="00B711CE"/>
    <w:rsid w:val="00B7157B"/>
    <w:rsid w:val="00B71822"/>
    <w:rsid w:val="00B71DC8"/>
    <w:rsid w:val="00B721E5"/>
    <w:rsid w:val="00B722BE"/>
    <w:rsid w:val="00B7307D"/>
    <w:rsid w:val="00B74251"/>
    <w:rsid w:val="00B7455A"/>
    <w:rsid w:val="00B746C6"/>
    <w:rsid w:val="00B74937"/>
    <w:rsid w:val="00B7569E"/>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EA3"/>
    <w:rsid w:val="00BE5FC4"/>
    <w:rsid w:val="00BE5FCC"/>
    <w:rsid w:val="00BE6607"/>
    <w:rsid w:val="00BE6A11"/>
    <w:rsid w:val="00BE7C4D"/>
    <w:rsid w:val="00BE7F6A"/>
    <w:rsid w:val="00BF0274"/>
    <w:rsid w:val="00BF04BC"/>
    <w:rsid w:val="00BF08C4"/>
    <w:rsid w:val="00BF0BAF"/>
    <w:rsid w:val="00BF0D12"/>
    <w:rsid w:val="00BF19CE"/>
    <w:rsid w:val="00BF1F04"/>
    <w:rsid w:val="00BF2B6F"/>
    <w:rsid w:val="00BF2F19"/>
    <w:rsid w:val="00BF351A"/>
    <w:rsid w:val="00BF3914"/>
    <w:rsid w:val="00BF3A34"/>
    <w:rsid w:val="00BF3C0D"/>
    <w:rsid w:val="00BF3F3B"/>
    <w:rsid w:val="00BF4221"/>
    <w:rsid w:val="00BF49B1"/>
    <w:rsid w:val="00BF4C98"/>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C22"/>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029"/>
    <w:rsid w:val="00C55164"/>
    <w:rsid w:val="00C554A8"/>
    <w:rsid w:val="00C55BE8"/>
    <w:rsid w:val="00C55BEE"/>
    <w:rsid w:val="00C56137"/>
    <w:rsid w:val="00C56149"/>
    <w:rsid w:val="00C563F5"/>
    <w:rsid w:val="00C570F7"/>
    <w:rsid w:val="00C577D8"/>
    <w:rsid w:val="00C57C32"/>
    <w:rsid w:val="00C57E45"/>
    <w:rsid w:val="00C57FD0"/>
    <w:rsid w:val="00C600E1"/>
    <w:rsid w:val="00C6041F"/>
    <w:rsid w:val="00C607A4"/>
    <w:rsid w:val="00C60A82"/>
    <w:rsid w:val="00C60AB1"/>
    <w:rsid w:val="00C610FA"/>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67D0"/>
    <w:rsid w:val="00C66E4B"/>
    <w:rsid w:val="00C67700"/>
    <w:rsid w:val="00C67EAB"/>
    <w:rsid w:val="00C67FA1"/>
    <w:rsid w:val="00C7074B"/>
    <w:rsid w:val="00C70DFF"/>
    <w:rsid w:val="00C71271"/>
    <w:rsid w:val="00C71A97"/>
    <w:rsid w:val="00C725C9"/>
    <w:rsid w:val="00C726BC"/>
    <w:rsid w:val="00C72BD5"/>
    <w:rsid w:val="00C72EDF"/>
    <w:rsid w:val="00C7368D"/>
    <w:rsid w:val="00C744EC"/>
    <w:rsid w:val="00C74A6F"/>
    <w:rsid w:val="00C74DBE"/>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156"/>
    <w:rsid w:val="00C832AE"/>
    <w:rsid w:val="00C832DC"/>
    <w:rsid w:val="00C8377F"/>
    <w:rsid w:val="00C839C5"/>
    <w:rsid w:val="00C85424"/>
    <w:rsid w:val="00C8646D"/>
    <w:rsid w:val="00C86F4B"/>
    <w:rsid w:val="00C8715E"/>
    <w:rsid w:val="00C87488"/>
    <w:rsid w:val="00C8779B"/>
    <w:rsid w:val="00C8781C"/>
    <w:rsid w:val="00C8793A"/>
    <w:rsid w:val="00C879DD"/>
    <w:rsid w:val="00C87E93"/>
    <w:rsid w:val="00C902FE"/>
    <w:rsid w:val="00C90478"/>
    <w:rsid w:val="00C9134A"/>
    <w:rsid w:val="00C91DE3"/>
    <w:rsid w:val="00C91E52"/>
    <w:rsid w:val="00C91FA0"/>
    <w:rsid w:val="00C9205B"/>
    <w:rsid w:val="00C92C7F"/>
    <w:rsid w:val="00C9307D"/>
    <w:rsid w:val="00C93586"/>
    <w:rsid w:val="00C9369D"/>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9D"/>
    <w:rsid w:val="00CC0957"/>
    <w:rsid w:val="00CC0B58"/>
    <w:rsid w:val="00CC0C4A"/>
    <w:rsid w:val="00CC0E27"/>
    <w:rsid w:val="00CC0F88"/>
    <w:rsid w:val="00CC17F0"/>
    <w:rsid w:val="00CC1853"/>
    <w:rsid w:val="00CC1A0A"/>
    <w:rsid w:val="00CC1DC8"/>
    <w:rsid w:val="00CC1FAE"/>
    <w:rsid w:val="00CC249B"/>
    <w:rsid w:val="00CC2CDF"/>
    <w:rsid w:val="00CC31B5"/>
    <w:rsid w:val="00CC3A23"/>
    <w:rsid w:val="00CC3D07"/>
    <w:rsid w:val="00CC433A"/>
    <w:rsid w:val="00CC4577"/>
    <w:rsid w:val="00CC5C5B"/>
    <w:rsid w:val="00CC5D59"/>
    <w:rsid w:val="00CC6D4F"/>
    <w:rsid w:val="00CC70F6"/>
    <w:rsid w:val="00CC737C"/>
    <w:rsid w:val="00CC7A4E"/>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5512"/>
    <w:rsid w:val="00CD55C4"/>
    <w:rsid w:val="00CD5603"/>
    <w:rsid w:val="00CD5A86"/>
    <w:rsid w:val="00CD69EC"/>
    <w:rsid w:val="00CD6E3D"/>
    <w:rsid w:val="00CD6F18"/>
    <w:rsid w:val="00CD71AB"/>
    <w:rsid w:val="00CD7400"/>
    <w:rsid w:val="00CE0109"/>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429"/>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60B5"/>
    <w:rsid w:val="00CF770B"/>
    <w:rsid w:val="00CF7A6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6A"/>
    <w:rsid w:val="00D133E9"/>
    <w:rsid w:val="00D13A89"/>
    <w:rsid w:val="00D13B13"/>
    <w:rsid w:val="00D14236"/>
    <w:rsid w:val="00D142BD"/>
    <w:rsid w:val="00D143CD"/>
    <w:rsid w:val="00D14553"/>
    <w:rsid w:val="00D14DB1"/>
    <w:rsid w:val="00D15027"/>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847"/>
    <w:rsid w:val="00D22B39"/>
    <w:rsid w:val="00D230C9"/>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D05"/>
    <w:rsid w:val="00D41AA1"/>
    <w:rsid w:val="00D42333"/>
    <w:rsid w:val="00D42FD2"/>
    <w:rsid w:val="00D43057"/>
    <w:rsid w:val="00D437D8"/>
    <w:rsid w:val="00D43D6A"/>
    <w:rsid w:val="00D44994"/>
    <w:rsid w:val="00D44DDF"/>
    <w:rsid w:val="00D45748"/>
    <w:rsid w:val="00D45B94"/>
    <w:rsid w:val="00D45BC9"/>
    <w:rsid w:val="00D45DF3"/>
    <w:rsid w:val="00D46174"/>
    <w:rsid w:val="00D46182"/>
    <w:rsid w:val="00D466D3"/>
    <w:rsid w:val="00D477AC"/>
    <w:rsid w:val="00D47DD0"/>
    <w:rsid w:val="00D50183"/>
    <w:rsid w:val="00D50579"/>
    <w:rsid w:val="00D50960"/>
    <w:rsid w:val="00D51D12"/>
    <w:rsid w:val="00D530C4"/>
    <w:rsid w:val="00D53203"/>
    <w:rsid w:val="00D53348"/>
    <w:rsid w:val="00D534A9"/>
    <w:rsid w:val="00D5362B"/>
    <w:rsid w:val="00D546E4"/>
    <w:rsid w:val="00D546EE"/>
    <w:rsid w:val="00D549C4"/>
    <w:rsid w:val="00D54CD8"/>
    <w:rsid w:val="00D54F03"/>
    <w:rsid w:val="00D55072"/>
    <w:rsid w:val="00D551B5"/>
    <w:rsid w:val="00D556B9"/>
    <w:rsid w:val="00D55CEB"/>
    <w:rsid w:val="00D563FF"/>
    <w:rsid w:val="00D56DB2"/>
    <w:rsid w:val="00D5747F"/>
    <w:rsid w:val="00D57495"/>
    <w:rsid w:val="00D574FA"/>
    <w:rsid w:val="00D60368"/>
    <w:rsid w:val="00D6096A"/>
    <w:rsid w:val="00D60A37"/>
    <w:rsid w:val="00D60BB0"/>
    <w:rsid w:val="00D60C8D"/>
    <w:rsid w:val="00D60D30"/>
    <w:rsid w:val="00D61374"/>
    <w:rsid w:val="00D6168A"/>
    <w:rsid w:val="00D616A5"/>
    <w:rsid w:val="00D61F6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E18"/>
    <w:rsid w:val="00D66F1C"/>
    <w:rsid w:val="00D67107"/>
    <w:rsid w:val="00D671CD"/>
    <w:rsid w:val="00D6734D"/>
    <w:rsid w:val="00D6752A"/>
    <w:rsid w:val="00D679CF"/>
    <w:rsid w:val="00D679D3"/>
    <w:rsid w:val="00D67C42"/>
    <w:rsid w:val="00D70376"/>
    <w:rsid w:val="00D70DDA"/>
    <w:rsid w:val="00D71208"/>
    <w:rsid w:val="00D716BE"/>
    <w:rsid w:val="00D71917"/>
    <w:rsid w:val="00D72407"/>
    <w:rsid w:val="00D72DFC"/>
    <w:rsid w:val="00D7356F"/>
    <w:rsid w:val="00D73587"/>
    <w:rsid w:val="00D739F5"/>
    <w:rsid w:val="00D73C55"/>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8C"/>
    <w:rsid w:val="00D81792"/>
    <w:rsid w:val="00D819B1"/>
    <w:rsid w:val="00D81C24"/>
    <w:rsid w:val="00D82437"/>
    <w:rsid w:val="00D82494"/>
    <w:rsid w:val="00D83463"/>
    <w:rsid w:val="00D83AE9"/>
    <w:rsid w:val="00D84156"/>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20BC"/>
    <w:rsid w:val="00DA2C0E"/>
    <w:rsid w:val="00DA2ED7"/>
    <w:rsid w:val="00DA3520"/>
    <w:rsid w:val="00DA3E7A"/>
    <w:rsid w:val="00DA3EE4"/>
    <w:rsid w:val="00DA430C"/>
    <w:rsid w:val="00DA48E1"/>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6001"/>
    <w:rsid w:val="00DB67F9"/>
    <w:rsid w:val="00DB7720"/>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44D3"/>
    <w:rsid w:val="00DD458A"/>
    <w:rsid w:val="00DD45C1"/>
    <w:rsid w:val="00DD45F2"/>
    <w:rsid w:val="00DD53FA"/>
    <w:rsid w:val="00DD5F42"/>
    <w:rsid w:val="00DD60B6"/>
    <w:rsid w:val="00DD617B"/>
    <w:rsid w:val="00DD6B09"/>
    <w:rsid w:val="00DD6CCF"/>
    <w:rsid w:val="00DD6D1A"/>
    <w:rsid w:val="00DE03DE"/>
    <w:rsid w:val="00DE0E59"/>
    <w:rsid w:val="00DE0F6C"/>
    <w:rsid w:val="00DE219B"/>
    <w:rsid w:val="00DE28B7"/>
    <w:rsid w:val="00DE296D"/>
    <w:rsid w:val="00DE2E7A"/>
    <w:rsid w:val="00DE37D4"/>
    <w:rsid w:val="00DE404A"/>
    <w:rsid w:val="00DE5161"/>
    <w:rsid w:val="00DE52E3"/>
    <w:rsid w:val="00DE53F9"/>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731"/>
    <w:rsid w:val="00DF0BF4"/>
    <w:rsid w:val="00DF0DD4"/>
    <w:rsid w:val="00DF1422"/>
    <w:rsid w:val="00DF179D"/>
    <w:rsid w:val="00DF1E9C"/>
    <w:rsid w:val="00DF20A0"/>
    <w:rsid w:val="00DF26FD"/>
    <w:rsid w:val="00DF2EB7"/>
    <w:rsid w:val="00DF3A4B"/>
    <w:rsid w:val="00DF3A83"/>
    <w:rsid w:val="00DF3EBA"/>
    <w:rsid w:val="00DF41FE"/>
    <w:rsid w:val="00DF4462"/>
    <w:rsid w:val="00DF4572"/>
    <w:rsid w:val="00DF4658"/>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07E58"/>
    <w:rsid w:val="00E1214E"/>
    <w:rsid w:val="00E121C1"/>
    <w:rsid w:val="00E1243D"/>
    <w:rsid w:val="00E138FF"/>
    <w:rsid w:val="00E143E7"/>
    <w:rsid w:val="00E145D6"/>
    <w:rsid w:val="00E14946"/>
    <w:rsid w:val="00E14A42"/>
    <w:rsid w:val="00E14A7E"/>
    <w:rsid w:val="00E151E1"/>
    <w:rsid w:val="00E160EB"/>
    <w:rsid w:val="00E163A5"/>
    <w:rsid w:val="00E16C77"/>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739"/>
    <w:rsid w:val="00E2579F"/>
    <w:rsid w:val="00E25AFC"/>
    <w:rsid w:val="00E25C91"/>
    <w:rsid w:val="00E25DBE"/>
    <w:rsid w:val="00E25E48"/>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8E7"/>
    <w:rsid w:val="00E408F7"/>
    <w:rsid w:val="00E40BBD"/>
    <w:rsid w:val="00E41983"/>
    <w:rsid w:val="00E419D9"/>
    <w:rsid w:val="00E421CC"/>
    <w:rsid w:val="00E421CD"/>
    <w:rsid w:val="00E429ED"/>
    <w:rsid w:val="00E42B69"/>
    <w:rsid w:val="00E43325"/>
    <w:rsid w:val="00E43F37"/>
    <w:rsid w:val="00E44185"/>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394C"/>
    <w:rsid w:val="00E73A71"/>
    <w:rsid w:val="00E741AC"/>
    <w:rsid w:val="00E749D8"/>
    <w:rsid w:val="00E75174"/>
    <w:rsid w:val="00E75B78"/>
    <w:rsid w:val="00E75EBA"/>
    <w:rsid w:val="00E75F9B"/>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8D1"/>
    <w:rsid w:val="00E82960"/>
    <w:rsid w:val="00E83756"/>
    <w:rsid w:val="00E845AB"/>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63C"/>
    <w:rsid w:val="00EB0CA3"/>
    <w:rsid w:val="00EB0F98"/>
    <w:rsid w:val="00EB0FCB"/>
    <w:rsid w:val="00EB104F"/>
    <w:rsid w:val="00EB14AA"/>
    <w:rsid w:val="00EB160C"/>
    <w:rsid w:val="00EB169E"/>
    <w:rsid w:val="00EB1B27"/>
    <w:rsid w:val="00EB1DA8"/>
    <w:rsid w:val="00EB2BD5"/>
    <w:rsid w:val="00EB3D55"/>
    <w:rsid w:val="00EB482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1CCF"/>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3231"/>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B3D"/>
    <w:rsid w:val="00F10DCD"/>
    <w:rsid w:val="00F10EDF"/>
    <w:rsid w:val="00F10FC1"/>
    <w:rsid w:val="00F112FD"/>
    <w:rsid w:val="00F123AF"/>
    <w:rsid w:val="00F1269F"/>
    <w:rsid w:val="00F12A51"/>
    <w:rsid w:val="00F13376"/>
    <w:rsid w:val="00F133A1"/>
    <w:rsid w:val="00F1368F"/>
    <w:rsid w:val="00F13ECD"/>
    <w:rsid w:val="00F14328"/>
    <w:rsid w:val="00F15117"/>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38DC"/>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D4F"/>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343"/>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602E4"/>
    <w:rsid w:val="00F607DD"/>
    <w:rsid w:val="00F608E3"/>
    <w:rsid w:val="00F60BC5"/>
    <w:rsid w:val="00F60BE9"/>
    <w:rsid w:val="00F60EB2"/>
    <w:rsid w:val="00F616DF"/>
    <w:rsid w:val="00F61FD8"/>
    <w:rsid w:val="00F62007"/>
    <w:rsid w:val="00F62446"/>
    <w:rsid w:val="00F62ABE"/>
    <w:rsid w:val="00F62DBF"/>
    <w:rsid w:val="00F631D4"/>
    <w:rsid w:val="00F641FC"/>
    <w:rsid w:val="00F647F7"/>
    <w:rsid w:val="00F64EB8"/>
    <w:rsid w:val="00F64F29"/>
    <w:rsid w:val="00F6566A"/>
    <w:rsid w:val="00F6583C"/>
    <w:rsid w:val="00F6589A"/>
    <w:rsid w:val="00F66015"/>
    <w:rsid w:val="00F6603D"/>
    <w:rsid w:val="00F6642C"/>
    <w:rsid w:val="00F66660"/>
    <w:rsid w:val="00F66A29"/>
    <w:rsid w:val="00F66DA5"/>
    <w:rsid w:val="00F6772F"/>
    <w:rsid w:val="00F6783E"/>
    <w:rsid w:val="00F702A4"/>
    <w:rsid w:val="00F70751"/>
    <w:rsid w:val="00F70DBE"/>
    <w:rsid w:val="00F71124"/>
    <w:rsid w:val="00F71260"/>
    <w:rsid w:val="00F713D5"/>
    <w:rsid w:val="00F71888"/>
    <w:rsid w:val="00F719CD"/>
    <w:rsid w:val="00F71BB8"/>
    <w:rsid w:val="00F71CD9"/>
    <w:rsid w:val="00F71FE7"/>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961"/>
    <w:rsid w:val="00F84EF6"/>
    <w:rsid w:val="00F85407"/>
    <w:rsid w:val="00F85536"/>
    <w:rsid w:val="00F85562"/>
    <w:rsid w:val="00F85ABC"/>
    <w:rsid w:val="00F85FD2"/>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4C32"/>
    <w:rsid w:val="00F950B5"/>
    <w:rsid w:val="00F9513F"/>
    <w:rsid w:val="00F95A6E"/>
    <w:rsid w:val="00F96249"/>
    <w:rsid w:val="00F96435"/>
    <w:rsid w:val="00F9649D"/>
    <w:rsid w:val="00F97908"/>
    <w:rsid w:val="00F97AF7"/>
    <w:rsid w:val="00F97B43"/>
    <w:rsid w:val="00F97C64"/>
    <w:rsid w:val="00F97DF9"/>
    <w:rsid w:val="00F97FB8"/>
    <w:rsid w:val="00FA027A"/>
    <w:rsid w:val="00FA07F8"/>
    <w:rsid w:val="00FA0A77"/>
    <w:rsid w:val="00FA0CC3"/>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E87"/>
    <w:rsid w:val="00FB1368"/>
    <w:rsid w:val="00FB1527"/>
    <w:rsid w:val="00FB2537"/>
    <w:rsid w:val="00FB29CA"/>
    <w:rsid w:val="00FB33DC"/>
    <w:rsid w:val="00FB4313"/>
    <w:rsid w:val="00FB4338"/>
    <w:rsid w:val="00FB4738"/>
    <w:rsid w:val="00FB477E"/>
    <w:rsid w:val="00FB4C9C"/>
    <w:rsid w:val="00FB4D0A"/>
    <w:rsid w:val="00FB51A2"/>
    <w:rsid w:val="00FB5BAE"/>
    <w:rsid w:val="00FB5F43"/>
    <w:rsid w:val="00FB6165"/>
    <w:rsid w:val="00FB63F0"/>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317"/>
    <w:rsid w:val="00FD1A97"/>
    <w:rsid w:val="00FD1D4E"/>
    <w:rsid w:val="00FD2089"/>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B51"/>
    <w:rsid w:val="00FE0B78"/>
    <w:rsid w:val="00FE0D8D"/>
    <w:rsid w:val="00FE0ED4"/>
    <w:rsid w:val="00FE16DD"/>
    <w:rsid w:val="00FE1EAB"/>
    <w:rsid w:val="00FE27D8"/>
    <w:rsid w:val="00FE2F08"/>
    <w:rsid w:val="00FE3465"/>
    <w:rsid w:val="00FE3B65"/>
    <w:rsid w:val="00FE51F6"/>
    <w:rsid w:val="00FE577F"/>
    <w:rsid w:val="00FE5DA8"/>
    <w:rsid w:val="00FE602C"/>
    <w:rsid w:val="00FE64C8"/>
    <w:rsid w:val="00FE67CF"/>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A8C"/>
    <w:rsid w:val="00FF6B1D"/>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35"/>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9D1BAC"/>
    <w:rPr>
      <w:rFonts w:ascii="Calibri" w:eastAsia="Calibri" w:hAnsi="Calibri"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4089d6895fbf41c1c43d503b4a47e98f">
  <xsd:schema xmlns:xsd="http://www.w3.org/2001/XMLSchema" xmlns:xs="http://www.w3.org/2001/XMLSchema" xmlns:p="http://schemas.microsoft.com/office/2006/metadata/properties" xmlns:ns3="60883a3d-d9ca-4df6-acbe-7b30e0af9c96" xmlns:ns4="33aa924e-874f-40f5-ad79-d7fcf3a4e455" targetNamespace="http://schemas.microsoft.com/office/2006/metadata/properties" ma:root="true" ma:fieldsID="4ded50130db511bce57ec71aac498ad1" ns3:_="" ns4:_="">
    <xsd:import namespace="60883a3d-d9ca-4df6-acbe-7b30e0af9c96"/>
    <xsd:import namespace="33aa924e-874f-40f5-ad79-d7fcf3a4e4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D93FFFEE-DDFA-4C16-B801-A587CC312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83a3d-d9ca-4df6-acbe-7b30e0af9c96"/>
    <ds:schemaRef ds:uri="33aa924e-874f-40f5-ad79-d7fcf3a4e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4.xml><?xml version="1.0" encoding="utf-8"?>
<ds:datastoreItem xmlns:ds="http://schemas.openxmlformats.org/officeDocument/2006/customXml" ds:itemID="{906EFA35-C297-415B-BC9B-6310DBD53249}">
  <ds:schemaRefs>
    <ds:schemaRef ds:uri="http://schemas.openxmlformats.org/officeDocument/2006/bibliography"/>
  </ds:schemaRefs>
</ds:datastoreItem>
</file>

<file path=customXml/itemProps5.xml><?xml version="1.0" encoding="utf-8"?>
<ds:datastoreItem xmlns:ds="http://schemas.openxmlformats.org/officeDocument/2006/customXml" ds:itemID="{76B6071A-3B66-404F-8CF7-571BD1929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4</Pages>
  <Words>1340</Words>
  <Characters>7640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9</cp:revision>
  <cp:lastPrinted>2016-05-13T20:14:00Z</cp:lastPrinted>
  <dcterms:created xsi:type="dcterms:W3CDTF">2020-05-15T22:41:00Z</dcterms:created>
  <dcterms:modified xsi:type="dcterms:W3CDTF">2020-08-07T19:05:00Z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0x010100B17338246765304586B529685CF8719E</vt:lpwstr>
  </property>
</Properties>
</file>